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r w:rsidR="00B359ED">
                  <w:rPr>
                    <w:sz w:val="26"/>
                    <w:szCs w:val="26"/>
                    <w:rtl/>
                  </w:rPr>
                  <w:br/>
                </w:r>
              </w:sdtContent>
            </w:sdt>
          </w:p>
          <w:p w:rsidR="00007DE0" w:rsidRPr="008A59EE" w:rsidRDefault="00007DE0" w:rsidP="00007DE0">
            <w:pPr>
              <w:suppressLineNumbers/>
              <w:rPr>
                <w:sz w:val="26"/>
                <w:szCs w:val="26"/>
              </w:rPr>
            </w:pPr>
          </w:p>
        </w:tc>
      </w:tr>
      <w:tr w:rsidR="00B359ED" w:rsidTr="000F573D">
        <w:trPr>
          <w:jc w:val="center"/>
        </w:trPr>
        <w:tc>
          <w:tcPr>
            <w:tcW w:w="8820" w:type="dxa"/>
            <w:gridSpan w:val="2"/>
          </w:tcPr>
          <w:p w:rsidR="00B359ED" w:rsidRDefault="00B359ED" w:rsidP="00430369">
            <w:pPr>
              <w:spacing w:after="120"/>
              <w:rPr>
                <w:b/>
                <w:bCs/>
                <w:sz w:val="26"/>
                <w:szCs w:val="26"/>
                <w:rtl/>
              </w:rPr>
            </w:pPr>
            <w:r>
              <w:rPr>
                <w:b/>
                <w:bCs/>
                <w:sz w:val="26"/>
                <w:szCs w:val="26"/>
                <w:rtl/>
              </w:rPr>
              <w:t>המבקש</w:t>
            </w:r>
            <w:r>
              <w:rPr>
                <w:b/>
                <w:bCs/>
                <w:sz w:val="26"/>
                <w:szCs w:val="26"/>
                <w:rtl/>
              </w:rPr>
              <w:tab/>
            </w:r>
            <w:r>
              <w:rPr>
                <w:b/>
                <w:bCs/>
                <w:sz w:val="26"/>
                <w:szCs w:val="26"/>
                <w:rtl/>
              </w:rPr>
              <w:tab/>
            </w:r>
            <w:r>
              <w:rPr>
                <w:b/>
                <w:bCs/>
                <w:sz w:val="26"/>
                <w:szCs w:val="26"/>
                <w:rtl/>
              </w:rPr>
              <w:tab/>
            </w:r>
            <w:r w:rsidR="00430369">
              <w:rPr>
                <w:rFonts w:hint="cs"/>
                <w:b/>
                <w:bCs/>
                <w:sz w:val="26"/>
                <w:szCs w:val="26"/>
                <w:rtl/>
              </w:rPr>
              <w:t>א. א</w:t>
            </w:r>
          </w:p>
          <w:p w:rsidR="00B359ED" w:rsidRDefault="00B359ED" w:rsidP="000F573D">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t xml:space="preserve">ע"י ב"כ עו"ד </w:t>
            </w:r>
            <w:r>
              <w:rPr>
                <w:rFonts w:hint="cs"/>
                <w:b/>
                <w:bCs/>
                <w:sz w:val="26"/>
                <w:szCs w:val="26"/>
                <w:rtl/>
              </w:rPr>
              <w:t>מוופק אבו יונס</w:t>
            </w:r>
          </w:p>
          <w:p w:rsidR="00B359ED" w:rsidRDefault="00B359ED" w:rsidP="000F573D">
            <w:pPr>
              <w:spacing w:after="120"/>
              <w:rPr>
                <w:b/>
                <w:bCs/>
                <w:sz w:val="26"/>
                <w:szCs w:val="26"/>
                <w:rtl/>
              </w:rPr>
            </w:pPr>
          </w:p>
          <w:p w:rsidR="00B359ED" w:rsidRDefault="00B359ED" w:rsidP="000F573D">
            <w:pPr>
              <w:spacing w:after="120"/>
              <w:rPr>
                <w:b/>
                <w:bCs/>
                <w:sz w:val="26"/>
                <w:szCs w:val="26"/>
                <w:rtl/>
              </w:rPr>
            </w:pPr>
            <w:r>
              <w:rPr>
                <w:b/>
                <w:bCs/>
                <w:sz w:val="26"/>
                <w:szCs w:val="26"/>
                <w:rtl/>
              </w:rPr>
              <w:tab/>
            </w:r>
            <w:r>
              <w:rPr>
                <w:b/>
                <w:bCs/>
                <w:sz w:val="26"/>
                <w:szCs w:val="26"/>
                <w:rtl/>
              </w:rPr>
              <w:tab/>
            </w:r>
            <w:r>
              <w:rPr>
                <w:b/>
                <w:bCs/>
                <w:sz w:val="26"/>
                <w:szCs w:val="26"/>
                <w:rtl/>
              </w:rPr>
              <w:tab/>
            </w:r>
            <w:r>
              <w:rPr>
                <w:b/>
                <w:bCs/>
                <w:sz w:val="26"/>
                <w:szCs w:val="26"/>
                <w:rtl/>
              </w:rPr>
              <w:tab/>
            </w:r>
            <w:r>
              <w:rPr>
                <w:b/>
                <w:bCs/>
                <w:sz w:val="26"/>
                <w:szCs w:val="26"/>
                <w:rtl/>
              </w:rPr>
              <w:tab/>
              <w:t xml:space="preserve">       נגד</w:t>
            </w:r>
          </w:p>
          <w:p w:rsidR="00B359ED" w:rsidRDefault="00B359ED" w:rsidP="000F573D">
            <w:pPr>
              <w:spacing w:after="120"/>
              <w:rPr>
                <w:b/>
                <w:bCs/>
                <w:sz w:val="26"/>
                <w:szCs w:val="26"/>
                <w:rtl/>
              </w:rPr>
            </w:pPr>
          </w:p>
          <w:p w:rsidR="00B359ED" w:rsidRPr="00E91FA8" w:rsidRDefault="00B359ED" w:rsidP="00430369">
            <w:pPr>
              <w:spacing w:after="120"/>
              <w:rPr>
                <w:b/>
                <w:bCs/>
                <w:sz w:val="26"/>
                <w:szCs w:val="26"/>
                <w:rtl/>
              </w:rPr>
            </w:pPr>
            <w:r>
              <w:rPr>
                <w:b/>
                <w:bCs/>
                <w:sz w:val="26"/>
                <w:szCs w:val="26"/>
                <w:rtl/>
              </w:rPr>
              <w:t>המשיבה</w:t>
            </w:r>
            <w:r>
              <w:rPr>
                <w:b/>
                <w:bCs/>
                <w:sz w:val="26"/>
                <w:szCs w:val="26"/>
                <w:rtl/>
              </w:rPr>
              <w:tab/>
            </w:r>
            <w:r>
              <w:rPr>
                <w:b/>
                <w:bCs/>
                <w:sz w:val="26"/>
                <w:szCs w:val="26"/>
                <w:rtl/>
              </w:rPr>
              <w:tab/>
            </w:r>
            <w:r>
              <w:rPr>
                <w:b/>
                <w:bCs/>
                <w:sz w:val="26"/>
                <w:szCs w:val="26"/>
                <w:rtl/>
              </w:rPr>
              <w:tab/>
            </w:r>
            <w:r w:rsidR="00430369">
              <w:rPr>
                <w:rFonts w:hint="cs"/>
                <w:b/>
                <w:bCs/>
                <w:sz w:val="26"/>
                <w:szCs w:val="26"/>
                <w:rtl/>
              </w:rPr>
              <w:t>פ. ק</w:t>
            </w:r>
          </w:p>
        </w:tc>
      </w:tr>
      <w:tr w:rsidR="00B359ED" w:rsidTr="000F573D">
        <w:trPr>
          <w:jc w:val="center"/>
        </w:trPr>
        <w:tc>
          <w:tcPr>
            <w:tcW w:w="8820" w:type="dxa"/>
            <w:gridSpan w:val="2"/>
          </w:tcPr>
          <w:p w:rsidR="00B359ED" w:rsidRDefault="00B359ED" w:rsidP="000F573D">
            <w:pPr>
              <w:suppressLineNumbers/>
              <w:rPr>
                <w:rFonts w:ascii="Arial" w:hAnsi="Arial"/>
                <w:b/>
                <w:bCs/>
                <w:noProof w:val="0"/>
                <w:sz w:val="26"/>
                <w:szCs w:val="26"/>
                <w:rtl/>
              </w:rPr>
            </w:pPr>
          </w:p>
        </w:tc>
      </w:tr>
      <w:tr w:rsidR="00B359ED" w:rsidRPr="00DE1E7D" w:rsidTr="000F573D">
        <w:trPr>
          <w:jc w:val="center"/>
        </w:trPr>
        <w:tc>
          <w:tcPr>
            <w:tcW w:w="8820" w:type="dxa"/>
            <w:gridSpan w:val="2"/>
          </w:tcPr>
          <w:p w:rsidR="00B359ED" w:rsidRDefault="00B359ED" w:rsidP="00B359ED">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B359ED" w:rsidRPr="00D44968" w:rsidRDefault="00B359ED" w:rsidP="000F573D">
            <w:pPr>
              <w:bidi w:val="0"/>
              <w:jc w:val="center"/>
              <w:rPr>
                <w:rFonts w:ascii="Arial" w:hAnsi="Arial"/>
                <w:b/>
                <w:bCs/>
                <w:noProof w:val="0"/>
                <w:sz w:val="28"/>
                <w:szCs w:val="28"/>
                <w:u w:val="single"/>
              </w:rPr>
            </w:pPr>
          </w:p>
        </w:tc>
      </w:tr>
    </w:tbl>
    <w:p w:rsidR="00B359ED" w:rsidRDefault="00B359ED" w:rsidP="00B359ED">
      <w:pPr>
        <w:spacing w:after="120" w:line="360" w:lineRule="auto"/>
        <w:ind w:left="720" w:hanging="720"/>
        <w:jc w:val="both"/>
        <w:rPr>
          <w:rFonts w:ascii="Arial" w:hAnsi="Arial"/>
          <w:noProof w:val="0"/>
        </w:rPr>
      </w:pPr>
      <w:r>
        <w:rPr>
          <w:rFonts w:ascii="Arial" w:hAnsi="Arial"/>
          <w:noProof w:val="0"/>
          <w:rtl/>
        </w:rPr>
        <w:t>1.</w:t>
      </w:r>
      <w:r>
        <w:rPr>
          <w:rFonts w:ascii="Arial" w:hAnsi="Arial"/>
          <w:noProof w:val="0"/>
          <w:rtl/>
        </w:rPr>
        <w:tab/>
        <w:t>עסקינן בבקשת רשות ערעור על החלטת בית המשפט לענייני משפחה בקריות (כב' השופטת גילה ספרא-ברנע) בתיק ת</w:t>
      </w:r>
      <w:r>
        <w:rPr>
          <w:rFonts w:ascii="Arial" w:hAnsi="Arial" w:hint="cs"/>
          <w:noProof w:val="0"/>
          <w:rtl/>
        </w:rPr>
        <w:t>מ"ש</w:t>
      </w:r>
      <w:r>
        <w:rPr>
          <w:rFonts w:ascii="Arial" w:hAnsi="Arial"/>
          <w:noProof w:val="0"/>
          <w:rtl/>
        </w:rPr>
        <w:t xml:space="preserve"> </w:t>
      </w:r>
      <w:r>
        <w:rPr>
          <w:rFonts w:ascii="Arial" w:hAnsi="Arial" w:hint="cs"/>
          <w:noProof w:val="0"/>
          <w:rtl/>
        </w:rPr>
        <w:t>38611</w:t>
      </w:r>
      <w:r>
        <w:rPr>
          <w:rFonts w:ascii="Arial" w:hAnsi="Arial"/>
          <w:noProof w:val="0"/>
          <w:rtl/>
        </w:rPr>
        <w:t>-</w:t>
      </w:r>
      <w:r>
        <w:rPr>
          <w:rFonts w:ascii="Arial" w:hAnsi="Arial" w:hint="cs"/>
          <w:noProof w:val="0"/>
          <w:rtl/>
        </w:rPr>
        <w:t>07</w:t>
      </w:r>
      <w:r>
        <w:rPr>
          <w:rFonts w:ascii="Arial" w:hAnsi="Arial"/>
          <w:noProof w:val="0"/>
          <w:rtl/>
        </w:rPr>
        <w:t>-</w:t>
      </w:r>
      <w:r>
        <w:rPr>
          <w:rFonts w:ascii="Arial" w:hAnsi="Arial" w:hint="cs"/>
          <w:noProof w:val="0"/>
          <w:rtl/>
        </w:rPr>
        <w:t>23</w:t>
      </w:r>
      <w:r>
        <w:rPr>
          <w:rFonts w:ascii="Arial" w:hAnsi="Arial"/>
          <w:noProof w:val="0"/>
          <w:rtl/>
        </w:rPr>
        <w:t xml:space="preserve"> מיום </w:t>
      </w:r>
      <w:r>
        <w:rPr>
          <w:rFonts w:ascii="Arial" w:hAnsi="Arial" w:hint="cs"/>
          <w:noProof w:val="0"/>
          <w:rtl/>
        </w:rPr>
        <w:t>24</w:t>
      </w:r>
      <w:r>
        <w:rPr>
          <w:rFonts w:ascii="Arial" w:hAnsi="Arial"/>
          <w:noProof w:val="0"/>
          <w:rtl/>
        </w:rPr>
        <w:t>.</w:t>
      </w:r>
      <w:r>
        <w:rPr>
          <w:rFonts w:ascii="Arial" w:hAnsi="Arial" w:hint="cs"/>
          <w:noProof w:val="0"/>
          <w:rtl/>
        </w:rPr>
        <w:t>6</w:t>
      </w:r>
      <w:r>
        <w:rPr>
          <w:rFonts w:ascii="Arial" w:hAnsi="Arial"/>
          <w:noProof w:val="0"/>
          <w:rtl/>
        </w:rPr>
        <w:t>.</w:t>
      </w:r>
      <w:r>
        <w:rPr>
          <w:rFonts w:ascii="Arial" w:hAnsi="Arial" w:hint="cs"/>
          <w:noProof w:val="0"/>
          <w:rtl/>
        </w:rPr>
        <w:t>24</w:t>
      </w:r>
      <w:r>
        <w:rPr>
          <w:rFonts w:ascii="Arial" w:hAnsi="Arial"/>
          <w:noProof w:val="0"/>
          <w:rtl/>
        </w:rPr>
        <w:t xml:space="preserve"> (להלן: "</w:t>
      </w:r>
      <w:r>
        <w:rPr>
          <w:rFonts w:ascii="Arial" w:hAnsi="Arial"/>
          <w:b/>
          <w:bCs/>
          <w:noProof w:val="0"/>
          <w:rtl/>
        </w:rPr>
        <w:t>התיק</w:t>
      </w:r>
      <w:r>
        <w:rPr>
          <w:rFonts w:ascii="Arial" w:hAnsi="Arial"/>
          <w:noProof w:val="0"/>
          <w:rtl/>
        </w:rPr>
        <w:t xml:space="preserve"> </w:t>
      </w:r>
      <w:r>
        <w:rPr>
          <w:rFonts w:ascii="Arial" w:hAnsi="Arial"/>
          <w:b/>
          <w:bCs/>
          <w:noProof w:val="0"/>
          <w:rtl/>
        </w:rPr>
        <w:t>קמא</w:t>
      </w:r>
      <w:r>
        <w:rPr>
          <w:rFonts w:ascii="Arial" w:hAnsi="Arial"/>
          <w:noProof w:val="0"/>
          <w:rtl/>
        </w:rPr>
        <w:t>" ו- "</w:t>
      </w:r>
      <w:r>
        <w:rPr>
          <w:rFonts w:ascii="Arial" w:hAnsi="Arial"/>
          <w:b/>
          <w:bCs/>
          <w:noProof w:val="0"/>
          <w:rtl/>
        </w:rPr>
        <w:t>ההחלטה</w:t>
      </w:r>
      <w:r>
        <w:rPr>
          <w:rFonts w:ascii="Arial" w:hAnsi="Arial"/>
          <w:noProof w:val="0"/>
          <w:rtl/>
        </w:rPr>
        <w:t xml:space="preserve"> </w:t>
      </w:r>
      <w:r>
        <w:rPr>
          <w:rFonts w:ascii="Arial" w:hAnsi="Arial"/>
          <w:b/>
          <w:bCs/>
          <w:noProof w:val="0"/>
          <w:rtl/>
        </w:rPr>
        <w:t>קמא</w:t>
      </w:r>
      <w:r>
        <w:rPr>
          <w:rFonts w:ascii="Arial" w:hAnsi="Arial"/>
          <w:noProof w:val="0"/>
          <w:rtl/>
        </w:rPr>
        <w:t xml:space="preserve">", בהתאמה) במסגרתה נדחתה בקשת המבקש למנות מומחה </w:t>
      </w:r>
      <w:r>
        <w:rPr>
          <w:rFonts w:ascii="Arial" w:hAnsi="Arial" w:hint="cs"/>
          <w:noProof w:val="0"/>
          <w:rtl/>
        </w:rPr>
        <w:t>בתחום ההנדסה, למתן חוות דעת בדבר אפשרות חלוקת בניין המגורים לשתיים או שלוש יחידות דיור נפרדות</w:t>
      </w:r>
      <w:r>
        <w:rPr>
          <w:rFonts w:ascii="Arial" w:hAnsi="Arial"/>
          <w:noProof w:val="0"/>
          <w:rtl/>
        </w:rPr>
        <w:t>, והכל כפי שיפורט להלן.</w:t>
      </w:r>
    </w:p>
    <w:p w:rsidR="00B359ED" w:rsidRDefault="00B359ED" w:rsidP="00B359ED">
      <w:pPr>
        <w:spacing w:after="120" w:line="360" w:lineRule="auto"/>
        <w:ind w:left="720" w:hanging="720"/>
      </w:pPr>
    </w:p>
    <w:p w:rsidR="00B359ED" w:rsidRDefault="00B359ED" w:rsidP="00B359ED">
      <w:pPr>
        <w:spacing w:after="120" w:line="360" w:lineRule="auto"/>
        <w:ind w:left="720" w:hanging="720"/>
        <w:jc w:val="both"/>
        <w:rPr>
          <w:rFonts w:ascii="Arial" w:hAnsi="Arial"/>
          <w:noProof w:val="0"/>
          <w:rtl/>
        </w:rPr>
      </w:pPr>
      <w:r>
        <w:rPr>
          <w:rFonts w:ascii="David" w:hAnsi="David"/>
          <w:b/>
          <w:bCs/>
          <w:noProof w:val="0"/>
          <w:u w:val="single"/>
          <w:rtl/>
        </w:rPr>
        <w:t>רקע וההחלטה קמא</w:t>
      </w:r>
    </w:p>
    <w:p w:rsidR="00B359ED" w:rsidRDefault="00B359ED" w:rsidP="00593DD3">
      <w:pPr>
        <w:spacing w:after="120" w:line="360" w:lineRule="auto"/>
        <w:ind w:left="720" w:hanging="720"/>
        <w:jc w:val="both"/>
        <w:rPr>
          <w:rFonts w:asciiTheme="minorHAnsi" w:hAnsiTheme="minorHAnsi"/>
          <w:noProof w:val="0"/>
          <w:rtl/>
        </w:rPr>
      </w:pPr>
      <w:r>
        <w:rPr>
          <w:rFonts w:ascii="Arial" w:hAnsi="Arial"/>
          <w:noProof w:val="0"/>
          <w:rtl/>
        </w:rPr>
        <w:t>2.</w:t>
      </w:r>
      <w:r>
        <w:rPr>
          <w:rFonts w:ascii="Arial" w:hAnsi="Arial"/>
          <w:noProof w:val="0"/>
          <w:rtl/>
        </w:rPr>
        <w:tab/>
        <w:t xml:space="preserve">המבקש </w:t>
      </w:r>
      <w:r>
        <w:rPr>
          <w:rFonts w:ascii="Arial" w:hAnsi="Arial" w:hint="cs"/>
          <w:noProof w:val="0"/>
          <w:rtl/>
        </w:rPr>
        <w:t xml:space="preserve">הינו אלמן, בן זוגה לשעבר של המנוחה, </w:t>
      </w:r>
      <w:r w:rsidR="00593DD3">
        <w:rPr>
          <w:rFonts w:ascii="Arial" w:hAnsi="Arial" w:hint="cs"/>
          <w:noProof w:val="0"/>
          <w:rtl/>
        </w:rPr>
        <w:t>ס. ד</w:t>
      </w:r>
      <w:r>
        <w:rPr>
          <w:rFonts w:ascii="Arial" w:hAnsi="Arial" w:hint="cs"/>
          <w:noProof w:val="0"/>
          <w:rtl/>
        </w:rPr>
        <w:t xml:space="preserve"> ז"ל (להלן: "</w:t>
      </w:r>
      <w:r w:rsidRPr="004A5F67">
        <w:rPr>
          <w:rFonts w:ascii="Arial" w:hAnsi="Arial" w:hint="cs"/>
          <w:b/>
          <w:bCs/>
          <w:noProof w:val="0"/>
          <w:rtl/>
        </w:rPr>
        <w:t>המנוחה</w:t>
      </w:r>
      <w:r>
        <w:rPr>
          <w:rFonts w:ascii="Arial" w:hAnsi="Arial" w:hint="cs"/>
          <w:noProof w:val="0"/>
          <w:rtl/>
        </w:rPr>
        <w:t>").</w:t>
      </w:r>
      <w:r>
        <w:rPr>
          <w:rFonts w:asciiTheme="minorHAnsi" w:hAnsiTheme="minorHAnsi"/>
          <w:noProof w:val="0"/>
          <w:rtl/>
        </w:rPr>
        <w:t xml:space="preserve"> </w:t>
      </w:r>
      <w:r>
        <w:rPr>
          <w:rFonts w:asciiTheme="minorHAnsi" w:hAnsiTheme="minorHAnsi" w:hint="cs"/>
          <w:noProof w:val="0"/>
          <w:rtl/>
        </w:rPr>
        <w:t xml:space="preserve">מנישואיהם נולדו ארבעה ילדים, נכון למועד הגשת בקשת רשות הערעור שלושה מהם בגירים ואחת קטינה. המנוחה הלכה לעולמה ביום </w:t>
      </w:r>
      <w:r w:rsidR="00593DD3">
        <w:rPr>
          <w:rFonts w:asciiTheme="minorHAnsi" w:hAnsiTheme="minorHAnsi" w:hint="cs"/>
          <w:noProof w:val="0"/>
          <w:rtl/>
        </w:rPr>
        <w:t>0.0</w:t>
      </w:r>
      <w:r>
        <w:rPr>
          <w:rFonts w:asciiTheme="minorHAnsi" w:hAnsiTheme="minorHAnsi" w:hint="cs"/>
          <w:noProof w:val="0"/>
          <w:rtl/>
        </w:rPr>
        <w:t>.2023.</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hint="cs"/>
          <w:noProof w:val="0"/>
          <w:rtl/>
        </w:rPr>
        <w:t>3.</w:t>
      </w:r>
      <w:r>
        <w:rPr>
          <w:rFonts w:asciiTheme="minorHAnsi" w:hAnsiTheme="minorHAnsi" w:hint="cs"/>
          <w:noProof w:val="0"/>
          <w:rtl/>
        </w:rPr>
        <w:tab/>
        <w:t>המשיבה היא אחותה של המנוחה. בין המבקש למשיבה (להלן גם: "</w:t>
      </w:r>
      <w:r w:rsidRPr="004A5F67">
        <w:rPr>
          <w:rFonts w:asciiTheme="minorHAnsi" w:hAnsiTheme="minorHAnsi" w:hint="cs"/>
          <w:b/>
          <w:bCs/>
          <w:noProof w:val="0"/>
          <w:rtl/>
        </w:rPr>
        <w:t>הצדדים</w:t>
      </w:r>
      <w:r>
        <w:rPr>
          <w:rFonts w:asciiTheme="minorHAnsi" w:hAnsiTheme="minorHAnsi" w:hint="cs"/>
          <w:noProof w:val="0"/>
          <w:rtl/>
        </w:rPr>
        <w:t>") מתנהלות מספר תביעות בבית משפט קמא הנוגעות לעזבון המנוחה. במסגרת התביעות קמא, המבקש ביקש צו ירושה והתנגד לקיום צוואות המנוחה; המשיבה ביקשה לקיים את צוואת המנוחה מיום 6.1</w:t>
      </w:r>
      <w:r w:rsidR="00593DD3">
        <w:rPr>
          <w:rFonts w:asciiTheme="minorHAnsi" w:hAnsiTheme="minorHAnsi" w:hint="cs"/>
          <w:noProof w:val="0"/>
          <w:rtl/>
        </w:rPr>
        <w:t>2.2022; מר א. א.</w:t>
      </w:r>
      <w:r>
        <w:rPr>
          <w:rFonts w:asciiTheme="minorHAnsi" w:hAnsiTheme="minorHAnsi" w:hint="cs"/>
          <w:noProof w:val="0"/>
          <w:rtl/>
        </w:rPr>
        <w:t xml:space="preserve"> (בנם של המנוחה והמבקש כאן) מבקש לקיים את צוואת המנוחה מיום 3.10.2021. </w:t>
      </w:r>
    </w:p>
    <w:p w:rsidR="00B359ED" w:rsidRDefault="00B359ED" w:rsidP="00593DD3">
      <w:pPr>
        <w:spacing w:after="120" w:line="360" w:lineRule="auto"/>
        <w:ind w:left="720" w:hanging="720"/>
        <w:jc w:val="both"/>
        <w:rPr>
          <w:rFonts w:asciiTheme="minorHAnsi" w:hAnsiTheme="minorHAnsi"/>
          <w:noProof w:val="0"/>
          <w:rtl/>
        </w:rPr>
      </w:pPr>
      <w:r>
        <w:rPr>
          <w:rFonts w:asciiTheme="minorHAnsi" w:hAnsiTheme="minorHAnsi" w:hint="cs"/>
          <w:noProof w:val="0"/>
          <w:rtl/>
        </w:rPr>
        <w:t>4.</w:t>
      </w:r>
      <w:r>
        <w:rPr>
          <w:rFonts w:asciiTheme="minorHAnsi" w:hAnsiTheme="minorHAnsi" w:hint="cs"/>
          <w:noProof w:val="0"/>
          <w:rtl/>
        </w:rPr>
        <w:tab/>
        <w:t xml:space="preserve">בין הצדדים ניטשה מחלוקת באשר לנכס </w:t>
      </w:r>
      <w:r>
        <w:rPr>
          <w:rFonts w:hint="cs"/>
          <w:rtl/>
        </w:rPr>
        <w:t>שהנו בית מגורים בשטח קרקע של 122 מ"ר (להלן: "</w:t>
      </w:r>
      <w:r w:rsidRPr="00DB6ED6">
        <w:rPr>
          <w:rFonts w:hint="cs"/>
          <w:b/>
          <w:bCs/>
          <w:rtl/>
        </w:rPr>
        <w:t>הבית</w:t>
      </w:r>
      <w:r>
        <w:rPr>
          <w:rFonts w:hint="cs"/>
          <w:rtl/>
        </w:rPr>
        <w:t xml:space="preserve">"). הנכס בנוי על </w:t>
      </w:r>
      <w:r w:rsidRPr="00242210">
        <w:rPr>
          <w:rtl/>
        </w:rPr>
        <w:t>מקרקעין</w:t>
      </w:r>
      <w:r>
        <w:rPr>
          <w:rFonts w:hint="cs"/>
          <w:rtl/>
        </w:rPr>
        <w:t xml:space="preserve"> הידועים כחלקה </w:t>
      </w:r>
      <w:r w:rsidR="00593DD3">
        <w:rPr>
          <w:rFonts w:hint="cs"/>
          <w:rtl/>
        </w:rPr>
        <w:t>00</w:t>
      </w:r>
      <w:r>
        <w:rPr>
          <w:rFonts w:hint="cs"/>
          <w:rtl/>
        </w:rPr>
        <w:t xml:space="preserve"> בגוש </w:t>
      </w:r>
      <w:r w:rsidR="00593DD3">
        <w:rPr>
          <w:rFonts w:hint="cs"/>
          <w:rtl/>
        </w:rPr>
        <w:t>00000 ב...</w:t>
      </w:r>
      <w:r>
        <w:rPr>
          <w:rFonts w:hint="cs"/>
          <w:rtl/>
        </w:rPr>
        <w:t xml:space="preserve"> (להלן: "</w:t>
      </w:r>
      <w:r w:rsidRPr="00242210">
        <w:rPr>
          <w:rFonts w:hint="cs"/>
          <w:b/>
          <w:bCs/>
          <w:rtl/>
        </w:rPr>
        <w:t>המקרקעין</w:t>
      </w:r>
      <w:r>
        <w:rPr>
          <w:rFonts w:hint="cs"/>
          <w:rtl/>
        </w:rPr>
        <w:t xml:space="preserve">"), בשטח של כ- 1099 מ"ר. </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hint="cs"/>
          <w:noProof w:val="0"/>
          <w:rtl/>
        </w:rPr>
        <w:t>5.</w:t>
      </w:r>
      <w:r>
        <w:rPr>
          <w:rFonts w:asciiTheme="minorHAnsi" w:hAnsiTheme="minorHAnsi" w:hint="cs"/>
          <w:noProof w:val="0"/>
          <w:rtl/>
        </w:rPr>
        <w:tab/>
        <w:t>התובענה קמא הוגשה על ידי המבקש, לפינוי וסילוק ידה של המשיבה במקרקעין ומכל חלקי הבית הנ"ל, לאפשר למבקש כניסה ושימוש בבית, וכן להשיב לו מלוא החזקה והשימוש במקרקעין (כך נטען בכתב התביעה קמא).</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hint="cs"/>
          <w:noProof w:val="0"/>
          <w:rtl/>
        </w:rPr>
        <w:lastRenderedPageBreak/>
        <w:t>6.</w:t>
      </w:r>
      <w:r>
        <w:rPr>
          <w:rFonts w:asciiTheme="minorHAnsi" w:hAnsiTheme="minorHAnsi" w:hint="cs"/>
          <w:noProof w:val="0"/>
          <w:rtl/>
        </w:rPr>
        <w:tab/>
        <w:t>ביום 7.5.2024, הגיש המבקש בקשה בתיק קמא, "</w:t>
      </w:r>
      <w:r w:rsidRPr="00686CF9">
        <w:rPr>
          <w:rFonts w:asciiTheme="minorHAnsi" w:hAnsiTheme="minorHAnsi" w:hint="cs"/>
          <w:b/>
          <w:bCs/>
          <w:noProof w:val="0"/>
          <w:rtl/>
        </w:rPr>
        <w:t>למינוי מומחה/ מהנדס מטעם בית המשפט</w:t>
      </w:r>
      <w:r>
        <w:rPr>
          <w:rFonts w:asciiTheme="minorHAnsi" w:hAnsiTheme="minorHAnsi" w:hint="cs"/>
          <w:noProof w:val="0"/>
          <w:rtl/>
        </w:rPr>
        <w:t>" לבדיקת הבית, שהנו מבנה בן שלוש קומות, ולמתן חוות דעת על השינויים שבוצעו בו, ולאפשרות החזרת המצב לקדמותו וחלוקת הבית לשתיים או שלוש יחידות דיור נפרדות.</w:t>
      </w:r>
    </w:p>
    <w:p w:rsidR="00B359ED" w:rsidRDefault="00B359ED" w:rsidP="00AD024E">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 xml:space="preserve">לטענת המבקש, המנוחה ואחותה המשיבה ביצעו שינויים בבית טרם פטירת המנוחה, כגון אטימת כניסות ועבודות לשינוי המצב הקיים, ומניעת חזרת המבקש לבית. עוד נטען בבקשה, כי נכון למועד הגשתה, הבית עומד שומם ונטוש ואיש לא גר בו. לטענת המבקש, המשיבה חזרה להתגורר עם בעלה בכפר </w:t>
      </w:r>
      <w:r w:rsidR="00AD024E">
        <w:rPr>
          <w:rFonts w:asciiTheme="minorHAnsi" w:hAnsiTheme="minorHAnsi" w:hint="cs"/>
          <w:noProof w:val="0"/>
          <w:rtl/>
        </w:rPr>
        <w:t>...</w:t>
      </w:r>
      <w:r>
        <w:rPr>
          <w:rFonts w:asciiTheme="minorHAnsi" w:hAnsiTheme="minorHAnsi" w:hint="cs"/>
          <w:noProof w:val="0"/>
          <w:rtl/>
        </w:rPr>
        <w:t>; הבת הקטינה</w:t>
      </w:r>
      <w:r w:rsidR="00AD024E">
        <w:rPr>
          <w:rFonts w:asciiTheme="minorHAnsi" w:hAnsiTheme="minorHAnsi" w:hint="cs"/>
          <w:noProof w:val="0"/>
          <w:rtl/>
        </w:rPr>
        <w:t xml:space="preserve"> התגוררה עם המשיבה (דודתה) בכפר,</w:t>
      </w:r>
      <w:r>
        <w:rPr>
          <w:rFonts w:asciiTheme="minorHAnsi" w:hAnsiTheme="minorHAnsi" w:hint="cs"/>
          <w:noProof w:val="0"/>
          <w:rtl/>
        </w:rPr>
        <w:t xml:space="preserve"> והבנות הבגיר</w:t>
      </w:r>
      <w:r w:rsidR="00AD024E">
        <w:rPr>
          <w:rFonts w:asciiTheme="minorHAnsi" w:hAnsiTheme="minorHAnsi" w:hint="cs"/>
          <w:noProof w:val="0"/>
          <w:rtl/>
        </w:rPr>
        <w:t>ות מגיעות גם כן לבית הדודה בכפר</w:t>
      </w:r>
      <w:r>
        <w:rPr>
          <w:rFonts w:asciiTheme="minorHAnsi" w:hAnsiTheme="minorHAnsi" w:hint="cs"/>
          <w:noProof w:val="0"/>
          <w:rtl/>
        </w:rPr>
        <w:t xml:space="preserve">. </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לעמדת המבקש, לא יעלה על הדעת שהבית עומד נטוש ולא נעשה בו שימוש, כאשר במקביל, המבקש שהנו הבעלים ובעל זכות קניינית בבית, יתגורר בשכירות ויימנע ממנו השימוש בבית או בחלקו, ולו באופן זמני עד לבירור המחלוקות בין הצדדים. מאחר שמדובר בבניין בן 3 קומות, ניתן להפוך אותו לשתיים או שלוש יחידות דיור נפרדות, ובדיקה פרטית מקדימה אצל מהנדס העלתה כי אכן הדבר אפשרי בנקל.</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hint="cs"/>
          <w:noProof w:val="0"/>
          <w:rtl/>
        </w:rPr>
        <w:t>7.</w:t>
      </w:r>
      <w:r>
        <w:rPr>
          <w:rFonts w:asciiTheme="minorHAnsi" w:hAnsiTheme="minorHAnsi" w:hint="cs"/>
          <w:noProof w:val="0"/>
          <w:rtl/>
        </w:rPr>
        <w:tab/>
        <w:t xml:space="preserve">המשיבה הגיבה לבקשה ביום 30.5.2024, במסגרתה התנגדה לבקשת המבקש. לטענתה, לא ניתן להבחין בין חלקי הבית ולכן הבקשה למינוי מומחה לבחינת פיצול בין יחידות דיור לא מתיישבת עם הסעד העיקרי בתביעה קמא, שעוסק בבית כולו ולא בחלקים ממנו. כמו כן, טענה כי מינוי מומחה לבדיקת פיצול הבית לא נמצא במסגרת הפלוגתות בתיק ולא הוזכר בכתב התביעה, ולכן מהווה שינוי או הרחבת חזית, להם היא מתנגדת. המשיבה התנגדה לכל סעד זמני של חזרת המבקש לבית, הזהה לסעד העיקרי בתביעתו, מה שמהווה לטענתה שימוש לרעה בהליכים ומצדיק דחיית הבקשה. לדברי המשיבה, המבקש לא מתגורר בבית מאז ינואר שנת 2020 ובדחיית הבקשה יישמר למעשה המצב הקיים. </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 xml:space="preserve">כמו כן העלתה המשיבה טענות בדבר אי זכאות המבקש לכל זכות במקרקעין ו/או בבית, אשר לטענתה הועברו למנוחה בירושה מאביה, ואף לפי צוואת המנוחה הזוכה היחידה היא המשיבה. לחילופין טענה כי המבקש והמנוחה נפרדו טרם מותה ולכן איננו בחזקת יורשהּ. </w:t>
      </w:r>
    </w:p>
    <w:p w:rsidR="00B359ED" w:rsidRDefault="00B359ED" w:rsidP="00B359ED">
      <w:pPr>
        <w:spacing w:after="120" w:line="360" w:lineRule="auto"/>
        <w:ind w:left="720" w:hanging="720"/>
        <w:jc w:val="both"/>
        <w:rPr>
          <w:rFonts w:asciiTheme="minorHAnsi" w:hAnsiTheme="minorHAnsi"/>
          <w:noProof w:val="0"/>
          <w:rtl/>
        </w:rPr>
      </w:pPr>
      <w:r>
        <w:rPr>
          <w:rFonts w:asciiTheme="minorHAnsi" w:hAnsiTheme="minorHAnsi" w:hint="cs"/>
          <w:noProof w:val="0"/>
          <w:rtl/>
        </w:rPr>
        <w:t>8.</w:t>
      </w:r>
      <w:r>
        <w:rPr>
          <w:rFonts w:asciiTheme="minorHAnsi" w:hAnsiTheme="minorHAnsi" w:hint="cs"/>
          <w:noProof w:val="0"/>
          <w:rtl/>
        </w:rPr>
        <w:tab/>
      </w:r>
      <w:r w:rsidRPr="00470B49">
        <w:rPr>
          <w:rFonts w:asciiTheme="minorHAnsi" w:hAnsiTheme="minorHAnsi" w:hint="cs"/>
          <w:noProof w:val="0"/>
          <w:rtl/>
        </w:rPr>
        <w:t>בהחלטתה מיום 2.6.</w:t>
      </w:r>
      <w:r>
        <w:rPr>
          <w:rFonts w:asciiTheme="minorHAnsi" w:hAnsiTheme="minorHAnsi" w:hint="cs"/>
          <w:noProof w:val="0"/>
          <w:rtl/>
        </w:rPr>
        <w:t xml:space="preserve">2024, קבעה השופטת קמא כי הבקשה </w:t>
      </w:r>
      <w:r w:rsidRPr="00470B49">
        <w:rPr>
          <w:rFonts w:asciiTheme="minorHAnsi" w:hAnsiTheme="minorHAnsi" w:hint="cs"/>
          <w:noProof w:val="0"/>
          <w:rtl/>
        </w:rPr>
        <w:t>תידון בדיון קדם המשפט הקרוב, שהתקיים ביום 24.6.2024 במעמד הצדדים ובאי כוחם.</w:t>
      </w:r>
      <w:r>
        <w:rPr>
          <w:rFonts w:asciiTheme="minorHAnsi" w:hAnsiTheme="minorHAnsi" w:hint="cs"/>
          <w:noProof w:val="0"/>
          <w:rtl/>
        </w:rPr>
        <w:t xml:space="preserve"> </w:t>
      </w:r>
      <w:r>
        <w:rPr>
          <w:rFonts w:asciiTheme="minorHAnsi" w:hAnsiTheme="minorHAnsi"/>
          <w:noProof w:val="0"/>
          <w:u w:val="single"/>
          <w:rtl/>
        </w:rPr>
        <w:t>ב</w:t>
      </w:r>
      <w:r>
        <w:rPr>
          <w:rFonts w:asciiTheme="minorHAnsi" w:hAnsiTheme="minorHAnsi" w:hint="cs"/>
          <w:noProof w:val="0"/>
          <w:u w:val="single"/>
          <w:rtl/>
        </w:rPr>
        <w:t>מסגרת הדיון מיום 24.6.2024</w:t>
      </w:r>
      <w:r>
        <w:rPr>
          <w:rFonts w:asciiTheme="minorHAnsi" w:hAnsiTheme="minorHAnsi"/>
          <w:noProof w:val="0"/>
          <w:u w:val="single"/>
          <w:rtl/>
        </w:rPr>
        <w:t xml:space="preserve"> ניתנה ההחלטה קמא</w:t>
      </w:r>
      <w:r>
        <w:rPr>
          <w:rFonts w:asciiTheme="minorHAnsi" w:hAnsiTheme="minorHAnsi"/>
          <w:noProof w:val="0"/>
          <w:rtl/>
        </w:rPr>
        <w:t>:</w:t>
      </w:r>
    </w:p>
    <w:p w:rsidR="00B359ED" w:rsidRPr="00470B49" w:rsidRDefault="00B359ED" w:rsidP="00B359ED">
      <w:pPr>
        <w:spacing w:after="120" w:line="360" w:lineRule="auto"/>
        <w:ind w:left="1701" w:right="851" w:hanging="527"/>
        <w:jc w:val="both"/>
        <w:rPr>
          <w:rFonts w:asciiTheme="minorHAnsi" w:hAnsiTheme="minorHAnsi"/>
          <w:b/>
          <w:bCs/>
          <w:noProof w:val="0"/>
          <w:rtl/>
        </w:rPr>
      </w:pPr>
      <w:r>
        <w:rPr>
          <w:rFonts w:asciiTheme="minorHAnsi" w:hAnsiTheme="minorHAnsi"/>
          <w:b/>
          <w:bCs/>
          <w:noProof w:val="0"/>
          <w:rtl/>
        </w:rPr>
        <w:t>"</w:t>
      </w:r>
      <w:r w:rsidRPr="00470B49">
        <w:rPr>
          <w:rFonts w:ascii="David" w:hAnsi="David"/>
          <w:b/>
          <w:bCs/>
          <w:noProof w:val="0"/>
          <w:rtl/>
        </w:rPr>
        <w:t>1.</w:t>
      </w:r>
      <w:r w:rsidRPr="00470B49">
        <w:rPr>
          <w:rFonts w:ascii="David" w:hAnsi="David"/>
          <w:b/>
          <w:bCs/>
          <w:noProof w:val="0"/>
          <w:rtl/>
        </w:rPr>
        <w:tab/>
        <w:t xml:space="preserve">כאמור בהחלטה מיום 21.2.24, התביעה בתמ"ש 38611-07-23 </w:t>
      </w:r>
      <w:r w:rsidRPr="00470B49">
        <w:rPr>
          <w:rFonts w:ascii="David" w:hAnsi="David" w:hint="cs"/>
          <w:noProof w:val="0"/>
          <w:rtl/>
        </w:rPr>
        <w:t>[התובענה קמא, ח"ש]</w:t>
      </w:r>
      <w:r>
        <w:rPr>
          <w:rFonts w:ascii="David" w:hAnsi="David" w:hint="cs"/>
          <w:b/>
          <w:bCs/>
          <w:noProof w:val="0"/>
          <w:rtl/>
        </w:rPr>
        <w:t xml:space="preserve"> </w:t>
      </w:r>
      <w:r w:rsidRPr="00470B49">
        <w:rPr>
          <w:rFonts w:ascii="David" w:hAnsi="David"/>
          <w:b/>
          <w:bCs/>
          <w:noProof w:val="0"/>
          <w:rtl/>
        </w:rPr>
        <w:t>תידון לאחר מתן ההחלטה בענין הזכויות בירושת המנוחה.</w:t>
      </w:r>
    </w:p>
    <w:p w:rsidR="00B359ED" w:rsidRPr="00470B49" w:rsidRDefault="00B359ED" w:rsidP="00B359ED">
      <w:pPr>
        <w:spacing w:after="120" w:line="360" w:lineRule="auto"/>
        <w:ind w:left="1701" w:right="851" w:hanging="527"/>
        <w:jc w:val="both"/>
        <w:rPr>
          <w:rFonts w:ascii="David" w:hAnsi="David"/>
          <w:b/>
          <w:bCs/>
          <w:noProof w:val="0"/>
          <w:rtl/>
        </w:rPr>
      </w:pPr>
      <w:r w:rsidRPr="00470B49">
        <w:rPr>
          <w:rFonts w:ascii="David" w:hAnsi="David"/>
          <w:b/>
          <w:bCs/>
          <w:noProof w:val="0"/>
          <w:rtl/>
        </w:rPr>
        <w:t>2.</w:t>
      </w:r>
      <w:r w:rsidRPr="00470B49">
        <w:rPr>
          <w:rFonts w:ascii="David" w:hAnsi="David"/>
          <w:b/>
          <w:bCs/>
          <w:noProof w:val="0"/>
          <w:rtl/>
        </w:rPr>
        <w:tab/>
        <w:t>בית המשפט מקדם את התיק על אף חוסר שיתוף הפעולה בין ב"כ הצדדים לקראת דיון הוכחות, וקביעת המסגרת הראייתית שתהיה בפני בית המשפט.</w:t>
      </w:r>
    </w:p>
    <w:p w:rsidR="00B359ED" w:rsidRPr="00470B49" w:rsidRDefault="00B359ED" w:rsidP="00B359ED">
      <w:pPr>
        <w:spacing w:after="120" w:line="360" w:lineRule="auto"/>
        <w:ind w:left="1701" w:right="851" w:hanging="527"/>
        <w:jc w:val="both"/>
        <w:rPr>
          <w:rFonts w:ascii="David" w:hAnsi="David"/>
          <w:b/>
          <w:bCs/>
          <w:noProof w:val="0"/>
          <w:rtl/>
        </w:rPr>
      </w:pPr>
      <w:r w:rsidRPr="00470B49">
        <w:rPr>
          <w:rFonts w:ascii="David" w:hAnsi="David"/>
          <w:b/>
          <w:bCs/>
          <w:noProof w:val="0"/>
          <w:rtl/>
        </w:rPr>
        <w:t>3.</w:t>
      </w:r>
      <w:r w:rsidRPr="00470B49">
        <w:rPr>
          <w:rFonts w:ascii="David" w:hAnsi="David"/>
          <w:b/>
          <w:bCs/>
          <w:noProof w:val="0"/>
          <w:rtl/>
        </w:rPr>
        <w:tab/>
        <w:t xml:space="preserve">טענות הצדדים ביחס לבית מוכרות, אף מלפני פטירת המנוחה, וביתר שאת לאחר מכן, וגם נדון ענין צו מניעה. </w:t>
      </w:r>
    </w:p>
    <w:p w:rsidR="00B359ED" w:rsidRPr="00470B49" w:rsidRDefault="00B359ED" w:rsidP="00B359ED">
      <w:pPr>
        <w:spacing w:after="120" w:line="360" w:lineRule="auto"/>
        <w:ind w:left="1701" w:right="851" w:hanging="527"/>
        <w:jc w:val="both"/>
        <w:rPr>
          <w:rFonts w:ascii="David" w:hAnsi="David"/>
          <w:b/>
          <w:bCs/>
          <w:noProof w:val="0"/>
          <w:rtl/>
        </w:rPr>
      </w:pPr>
      <w:r w:rsidRPr="00470B49">
        <w:rPr>
          <w:rFonts w:ascii="David" w:hAnsi="David"/>
          <w:b/>
          <w:bCs/>
          <w:noProof w:val="0"/>
          <w:rtl/>
        </w:rPr>
        <w:t>4.</w:t>
      </w:r>
      <w:r w:rsidRPr="00470B49">
        <w:rPr>
          <w:rFonts w:ascii="David" w:hAnsi="David"/>
          <w:b/>
          <w:bCs/>
          <w:noProof w:val="0"/>
          <w:rtl/>
        </w:rPr>
        <w:tab/>
        <w:t>איני מוצאת בשלב זה הצדקה למינוי מהנדס לבחינת האפשרות של חלוקת הבית, טרם הכרעה בעניי</w:t>
      </w:r>
      <w:r w:rsidR="00AD024E">
        <w:rPr>
          <w:rFonts w:ascii="David" w:hAnsi="David"/>
          <w:b/>
          <w:bCs/>
          <w:noProof w:val="0"/>
          <w:rtl/>
        </w:rPr>
        <w:t>ן הירושה ועוד בעניין טענות א</w:t>
      </w:r>
      <w:r w:rsidR="00AD024E">
        <w:rPr>
          <w:rFonts w:ascii="David" w:hAnsi="David" w:hint="cs"/>
          <w:b/>
          <w:bCs/>
          <w:noProof w:val="0"/>
          <w:rtl/>
        </w:rPr>
        <w:t>'</w:t>
      </w:r>
      <w:r w:rsidRPr="00470B49">
        <w:rPr>
          <w:rFonts w:ascii="David" w:hAnsi="David"/>
          <w:b/>
          <w:bCs/>
          <w:noProof w:val="0"/>
          <w:rtl/>
        </w:rPr>
        <w:t xml:space="preserve"> לזכותו בבית.</w:t>
      </w:r>
    </w:p>
    <w:p w:rsidR="00B359ED" w:rsidRDefault="00B359ED" w:rsidP="00B359ED">
      <w:pPr>
        <w:spacing w:after="120" w:line="360" w:lineRule="auto"/>
        <w:ind w:left="1701" w:right="851" w:hanging="527"/>
        <w:jc w:val="both"/>
        <w:rPr>
          <w:rFonts w:asciiTheme="minorHAnsi" w:hAnsiTheme="minorHAnsi"/>
          <w:b/>
          <w:bCs/>
          <w:noProof w:val="0"/>
          <w:rtl/>
        </w:rPr>
      </w:pPr>
      <w:r w:rsidRPr="00470B49">
        <w:rPr>
          <w:rFonts w:ascii="David" w:hAnsi="David"/>
          <w:b/>
          <w:bCs/>
          <w:noProof w:val="0"/>
          <w:rtl/>
        </w:rPr>
        <w:lastRenderedPageBreak/>
        <w:t>5.</w:t>
      </w:r>
      <w:r w:rsidRPr="00470B49">
        <w:rPr>
          <w:rFonts w:ascii="David" w:hAnsi="David"/>
          <w:b/>
          <w:bCs/>
          <w:noProof w:val="0"/>
          <w:rtl/>
        </w:rPr>
        <w:tab/>
        <w:t>הבקשה נדחית בשלב זה.</w:t>
      </w:r>
      <w:r w:rsidRPr="0086455E">
        <w:rPr>
          <w:rFonts w:ascii="David" w:hAnsi="David"/>
          <w:b/>
          <w:bCs/>
          <w:noProof w:val="0"/>
          <w:rtl/>
        </w:rPr>
        <w:tab/>
      </w:r>
    </w:p>
    <w:p w:rsidR="00B359ED" w:rsidRDefault="00B359ED" w:rsidP="00B359ED">
      <w:pPr>
        <w:spacing w:after="120" w:line="360" w:lineRule="auto"/>
        <w:ind w:left="1701" w:right="851" w:hanging="527"/>
        <w:jc w:val="both"/>
        <w:rPr>
          <w:rFonts w:asciiTheme="minorHAnsi" w:hAnsiTheme="minorHAnsi"/>
          <w:b/>
          <w:bCs/>
          <w:noProof w:val="0"/>
          <w:rtl/>
        </w:rPr>
      </w:pPr>
      <w:r>
        <w:rPr>
          <w:rFonts w:asciiTheme="minorHAnsi" w:hAnsiTheme="minorHAnsi"/>
          <w:b/>
          <w:bCs/>
          <w:noProof w:val="0"/>
          <w:rtl/>
        </w:rPr>
        <w:t>...".</w:t>
      </w:r>
    </w:p>
    <w:p w:rsidR="00B359ED" w:rsidRDefault="00B359ED" w:rsidP="00B359ED">
      <w:pPr>
        <w:spacing w:after="120" w:line="360" w:lineRule="auto"/>
        <w:ind w:right="964" w:firstLine="720"/>
        <w:jc w:val="both"/>
        <w:rPr>
          <w:rFonts w:ascii="Arial" w:hAnsi="Arial"/>
          <w:noProof w:val="0"/>
        </w:rPr>
      </w:pPr>
      <w:r>
        <w:rPr>
          <w:rFonts w:ascii="Arial" w:hAnsi="Arial"/>
          <w:noProof w:val="0"/>
          <w:rtl/>
        </w:rPr>
        <w:t>בגין החלטה זו הוגשה בקשת רשות הערעור דנן.</w:t>
      </w:r>
    </w:p>
    <w:p w:rsidR="00B359ED" w:rsidRDefault="00B359ED" w:rsidP="00B359ED">
      <w:pPr>
        <w:spacing w:after="120" w:line="360" w:lineRule="auto"/>
        <w:ind w:left="720" w:hanging="720"/>
        <w:jc w:val="both"/>
        <w:rPr>
          <w:rFonts w:ascii="Arial" w:hAnsi="Arial"/>
          <w:b/>
          <w:bCs/>
          <w:noProof w:val="0"/>
          <w:u w:val="single"/>
          <w:rtl/>
        </w:rPr>
      </w:pPr>
    </w:p>
    <w:p w:rsidR="00B359ED" w:rsidRDefault="00B359ED" w:rsidP="00B359ED">
      <w:pPr>
        <w:spacing w:after="120" w:line="360" w:lineRule="auto"/>
        <w:ind w:left="720" w:hanging="720"/>
        <w:jc w:val="both"/>
        <w:rPr>
          <w:rFonts w:ascii="Arial" w:hAnsi="Arial"/>
          <w:noProof w:val="0"/>
          <w:rtl/>
        </w:rPr>
      </w:pPr>
      <w:r>
        <w:rPr>
          <w:rFonts w:ascii="Arial" w:hAnsi="Arial"/>
          <w:b/>
          <w:bCs/>
          <w:noProof w:val="0"/>
          <w:u w:val="single"/>
          <w:rtl/>
        </w:rPr>
        <w:t>טענות המבקש בבקשת רשות הערעור</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9</w:t>
      </w:r>
      <w:r>
        <w:rPr>
          <w:rFonts w:ascii="Arial" w:hAnsi="Arial"/>
          <w:noProof w:val="0"/>
          <w:rtl/>
        </w:rPr>
        <w:t>.</w:t>
      </w:r>
      <w:r>
        <w:rPr>
          <w:rFonts w:ascii="Arial" w:hAnsi="Arial"/>
          <w:noProof w:val="0"/>
          <w:rtl/>
        </w:rPr>
        <w:tab/>
      </w:r>
      <w:r w:rsidRPr="00852C23">
        <w:rPr>
          <w:rFonts w:ascii="Arial" w:hAnsi="Arial"/>
          <w:noProof w:val="0"/>
          <w:u w:val="single"/>
          <w:rtl/>
        </w:rPr>
        <w:t xml:space="preserve">המבקש </w:t>
      </w:r>
      <w:r w:rsidRPr="00852C23">
        <w:rPr>
          <w:rFonts w:ascii="Arial" w:hAnsi="Arial" w:hint="cs"/>
          <w:noProof w:val="0"/>
          <w:u w:val="single"/>
          <w:rtl/>
        </w:rPr>
        <w:t>חזר על טענותיו שנטענו בבקשתו קמא, ושסוכמו בסעיף 6 לעיל. הוא הוסיף וטען, בין היתר</w:t>
      </w:r>
      <w:r>
        <w:rPr>
          <w:rFonts w:ascii="Arial" w:hAnsi="Arial" w:hint="cs"/>
          <w:noProof w:val="0"/>
          <w:rtl/>
        </w:rPr>
        <w:t>:</w:t>
      </w:r>
    </w:p>
    <w:p w:rsidR="00B359ED" w:rsidRDefault="00B359ED" w:rsidP="00B359ED">
      <w:pPr>
        <w:spacing w:after="120"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 xml:space="preserve">במהלך התקופה עובר לפטירת המנוחה, המבקש היה מסוכסך עמה ובחר מיוזמתו להתרחק ולגור בנפרד ממנה, בשכירות, והמנוחה נותרה לגור בבית עם ילדיהם. עם פטירת המנוחה, החליט המבקש לשוב ולהתגורר בבית עם ילדיו, אולם להפתעתו במהלך ימי האבל סולק מהבית בקללות ובאיומים על ידי המשיבה, שמנעה ממנו להיכנס לבית. </w:t>
      </w:r>
    </w:p>
    <w:p w:rsidR="00B359ED" w:rsidRDefault="00B359ED" w:rsidP="00B359ED">
      <w:pPr>
        <w:spacing w:after="120" w:line="360" w:lineRule="auto"/>
        <w:ind w:left="1440" w:hanging="720"/>
        <w:jc w:val="both"/>
        <w:rPr>
          <w:rFonts w:ascii="Arial" w:hAnsi="Arial"/>
          <w:noProof w:val="0"/>
          <w:rtl/>
        </w:rPr>
      </w:pPr>
      <w:r>
        <w:rPr>
          <w:rFonts w:ascii="Arial" w:hAnsi="Arial" w:hint="cs"/>
          <w:noProof w:val="0"/>
          <w:rtl/>
        </w:rPr>
        <w:t>ג.</w:t>
      </w:r>
      <w:r>
        <w:rPr>
          <w:rFonts w:ascii="Arial" w:hAnsi="Arial" w:hint="cs"/>
          <w:noProof w:val="0"/>
          <w:rtl/>
        </w:rPr>
        <w:tab/>
        <w:t>טעה בית משפט קמא, עת לא בחן את הפרמטרים שנקבעו בפסיקה, לרבות מאזן הנוחות בין הצדדים שנוטה לטובת המבקש. הרי הנזק שנגרם וממשיך להיגרם למבקש בהיותו מורחק מביתו, לא עולה בקנה אחד עם היעדר הנזק למשיבה, ככל שתינתן האפשרות למבקש, לחזור לגור בבית.</w:t>
      </w:r>
    </w:p>
    <w:p w:rsidR="00B359ED" w:rsidRDefault="00B359ED" w:rsidP="00B359ED">
      <w:pPr>
        <w:spacing w:after="120" w:line="360" w:lineRule="auto"/>
        <w:ind w:left="1440" w:hanging="720"/>
        <w:jc w:val="both"/>
        <w:rPr>
          <w:rFonts w:ascii="Arial" w:hAnsi="Arial"/>
          <w:noProof w:val="0"/>
          <w:rtl/>
        </w:rPr>
      </w:pPr>
      <w:r>
        <w:rPr>
          <w:rFonts w:ascii="Arial" w:hAnsi="Arial" w:hint="cs"/>
          <w:noProof w:val="0"/>
          <w:rtl/>
        </w:rPr>
        <w:t>ד.</w:t>
      </w:r>
      <w:r>
        <w:rPr>
          <w:rFonts w:ascii="Arial" w:hAnsi="Arial" w:hint="cs"/>
          <w:noProof w:val="0"/>
          <w:rtl/>
        </w:rPr>
        <w:tab/>
      </w:r>
      <w:r w:rsidRPr="00077CDD">
        <w:rPr>
          <w:rFonts w:ascii="Arial" w:hAnsi="Arial" w:hint="cs"/>
          <w:noProof w:val="0"/>
          <w:rtl/>
        </w:rPr>
        <w:t>טעה בית משפט קמא עת קשר בין שאלת בחינת חזרת המבקש למגורים בבית, לבין שאלת ההכרעה בזהות יורשי המנוחה ו/או בירור הזכויות הקנייניות שטוען להן המבקש בבית. המבקש הנו בעלים של לפחות מחצית מהבית, בעוד שלמשיבה אין כלל זכות שהיא בבית.</w:t>
      </w:r>
    </w:p>
    <w:p w:rsidR="00B359ED" w:rsidRDefault="00B359ED" w:rsidP="00B359ED">
      <w:pPr>
        <w:spacing w:after="120" w:line="360" w:lineRule="auto"/>
        <w:ind w:left="1440" w:hanging="720"/>
        <w:jc w:val="both"/>
        <w:rPr>
          <w:rFonts w:ascii="Arial" w:hAnsi="Arial"/>
          <w:noProof w:val="0"/>
          <w:rtl/>
        </w:rPr>
      </w:pPr>
      <w:r>
        <w:rPr>
          <w:rFonts w:ascii="Arial" w:hAnsi="Arial" w:hint="cs"/>
          <w:noProof w:val="0"/>
          <w:rtl/>
        </w:rPr>
        <w:t>ה.</w:t>
      </w:r>
      <w:r>
        <w:rPr>
          <w:rFonts w:ascii="Arial" w:hAnsi="Arial" w:hint="cs"/>
          <w:noProof w:val="0"/>
          <w:rtl/>
        </w:rPr>
        <w:tab/>
        <w:t>בית משפט</w:t>
      </w:r>
      <w:r w:rsidR="00D20B5D">
        <w:rPr>
          <w:rFonts w:ascii="Arial" w:hAnsi="Arial" w:hint="cs"/>
          <w:noProof w:val="0"/>
          <w:rtl/>
        </w:rPr>
        <w:t xml:space="preserve"> קמא היה צריך לתת חלופה אחרת מלב</w:t>
      </w:r>
      <w:r>
        <w:rPr>
          <w:rFonts w:ascii="Arial" w:hAnsi="Arial" w:hint="cs"/>
          <w:noProof w:val="0"/>
          <w:rtl/>
        </w:rPr>
        <w:t xml:space="preserve">ד הסעד הדרסטי שהנו המשך מניעת המבקש מלשוב לבית. לא ברור מדוע לא ניתן לאפשר למבקש לשוב לבית, עד למתן הכרעה סופית בכל המחלוקות, ובזמן שבפועל אין נגד המשיב צו מניעה. מדובר בפגיעה לא מידתית במבקש ובזכויותיו הבסיסיות, לגור בבית מגוריו. </w:t>
      </w:r>
    </w:p>
    <w:p w:rsidR="00B359ED" w:rsidRDefault="00B359ED" w:rsidP="00B359ED">
      <w:pPr>
        <w:spacing w:after="120" w:line="360" w:lineRule="auto"/>
        <w:ind w:left="1440" w:hanging="720"/>
        <w:jc w:val="both"/>
        <w:rPr>
          <w:rFonts w:ascii="Arial" w:hAnsi="Arial"/>
          <w:noProof w:val="0"/>
          <w:rtl/>
        </w:rPr>
      </w:pPr>
      <w:r>
        <w:rPr>
          <w:rFonts w:ascii="Arial" w:hAnsi="Arial" w:hint="cs"/>
          <w:noProof w:val="0"/>
          <w:rtl/>
        </w:rPr>
        <w:t>ו.</w:t>
      </w:r>
      <w:r>
        <w:rPr>
          <w:rFonts w:ascii="Arial" w:hAnsi="Arial" w:hint="cs"/>
          <w:noProof w:val="0"/>
          <w:rtl/>
        </w:rPr>
        <w:tab/>
        <w:t>כיום אין כל מניעה או הגבלה או צו מניעה שימנע מהמבקש מלעשות שימוש ומגורים בביתו, עד מתן הכרעה סופית בתובענה קמא.</w:t>
      </w:r>
    </w:p>
    <w:p w:rsidR="00B359ED" w:rsidRDefault="00B359ED" w:rsidP="00B359ED">
      <w:pPr>
        <w:spacing w:after="120" w:line="360" w:lineRule="auto"/>
        <w:ind w:left="1440" w:hanging="720"/>
        <w:jc w:val="both"/>
        <w:rPr>
          <w:rFonts w:ascii="Arial" w:hAnsi="Arial"/>
          <w:noProof w:val="0"/>
          <w:rtl/>
        </w:rPr>
      </w:pPr>
    </w:p>
    <w:p w:rsidR="00B359ED" w:rsidRDefault="00B359ED" w:rsidP="00B359ED">
      <w:pPr>
        <w:spacing w:after="120" w:line="360" w:lineRule="auto"/>
        <w:jc w:val="both"/>
        <w:rPr>
          <w:rFonts w:ascii="Arial" w:hAnsi="Arial"/>
          <w:b/>
          <w:bCs/>
          <w:noProof w:val="0"/>
          <w:u w:val="single"/>
          <w:rtl/>
        </w:rPr>
      </w:pPr>
      <w:r>
        <w:rPr>
          <w:rFonts w:ascii="Arial" w:hAnsi="Arial"/>
          <w:b/>
          <w:bCs/>
          <w:noProof w:val="0"/>
          <w:u w:val="single"/>
          <w:rtl/>
        </w:rPr>
        <w:t>דיון והכרעה</w:t>
      </w:r>
    </w:p>
    <w:p w:rsidR="00B359ED" w:rsidRDefault="00B359ED" w:rsidP="00B359ED">
      <w:pPr>
        <w:spacing w:after="120" w:line="360" w:lineRule="auto"/>
        <w:ind w:left="720" w:hanging="720"/>
        <w:jc w:val="both"/>
        <w:rPr>
          <w:rFonts w:ascii="David" w:hAnsi="David"/>
          <w:noProof w:val="0"/>
        </w:rPr>
      </w:pPr>
      <w:r>
        <w:rPr>
          <w:rFonts w:ascii="Arial" w:hAnsi="Arial" w:hint="cs"/>
          <w:noProof w:val="0"/>
          <w:rtl/>
        </w:rPr>
        <w:t>10</w:t>
      </w:r>
      <w:r>
        <w:rPr>
          <w:rFonts w:ascii="Arial" w:hAnsi="Arial"/>
          <w:noProof w:val="0"/>
          <w:rtl/>
        </w:rPr>
        <w:t>.</w:t>
      </w:r>
      <w:r>
        <w:rPr>
          <w:rFonts w:ascii="Arial" w:hAnsi="Arial"/>
          <w:noProof w:val="0"/>
          <w:rtl/>
        </w:rPr>
        <w:tab/>
      </w:r>
      <w:r>
        <w:rPr>
          <w:rFonts w:ascii="Arial" w:hAnsi="Arial"/>
          <w:b/>
          <w:bCs/>
          <w:noProof w:val="0"/>
          <w:rtl/>
        </w:rPr>
        <w:t>לאחר עיון בבקשת רשות הערעור על נספחיה ובתיק קמא שוכנעתי לדחות את הערעור אף ללא צורך בתשובה, מכח סמכותי על פי תקנות 138(א)(2) + (5) לתקנות סדר הדין האזרחי, תשע"ט-2018 (להלן: "התקנות").</w:t>
      </w:r>
    </w:p>
    <w:p w:rsidR="00B359ED" w:rsidRDefault="00B359ED" w:rsidP="00B359ED">
      <w:pPr>
        <w:spacing w:after="120" w:line="360" w:lineRule="auto"/>
        <w:ind w:left="720" w:hanging="720"/>
        <w:jc w:val="both"/>
        <w:rPr>
          <w:rFonts w:ascii="Arial" w:hAnsi="Arial"/>
          <w:noProof w:val="0"/>
          <w:rtl/>
        </w:rPr>
      </w:pPr>
      <w:r>
        <w:rPr>
          <w:rFonts w:ascii="Arial" w:hAnsi="Arial"/>
          <w:noProof w:val="0"/>
          <w:rtl/>
        </w:rPr>
        <w:tab/>
        <w:t>להלן אנמק את החלטתי.</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lastRenderedPageBreak/>
        <w:t>11</w:t>
      </w:r>
      <w:r>
        <w:rPr>
          <w:rFonts w:ascii="Arial" w:hAnsi="Arial"/>
          <w:noProof w:val="0"/>
          <w:rtl/>
        </w:rPr>
        <w:t>.</w:t>
      </w:r>
      <w:r>
        <w:rPr>
          <w:rFonts w:ascii="Arial" w:hAnsi="Arial"/>
          <w:noProof w:val="0"/>
          <w:rtl/>
        </w:rPr>
        <w:tab/>
        <w:t>עסקינן בהליך המצוי בתחילתו, כששאל</w:t>
      </w:r>
      <w:r>
        <w:rPr>
          <w:rFonts w:ascii="Arial" w:hAnsi="Arial" w:hint="cs"/>
          <w:noProof w:val="0"/>
          <w:rtl/>
        </w:rPr>
        <w:t xml:space="preserve">ת הזכויות בבית ו/או במקרקעין, לצד שאלת זהות יורשי המנוחה, וכן היקף חלקם בעזבון המנוחה, טרם התבררו וממילא לא הוכרעו. </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12</w:t>
      </w:r>
      <w:r>
        <w:rPr>
          <w:rFonts w:ascii="Arial" w:hAnsi="Arial"/>
          <w:noProof w:val="0"/>
          <w:rtl/>
        </w:rPr>
        <w:t>.</w:t>
      </w:r>
      <w:r>
        <w:rPr>
          <w:rFonts w:ascii="Arial" w:hAnsi="Arial"/>
          <w:noProof w:val="0"/>
          <w:rtl/>
        </w:rPr>
        <w:tab/>
        <w:t>מכאן עולה</w:t>
      </w:r>
      <w:r>
        <w:rPr>
          <w:rFonts w:ascii="Arial" w:hAnsi="Arial" w:hint="cs"/>
          <w:noProof w:val="0"/>
          <w:rtl/>
        </w:rPr>
        <w:t xml:space="preserve"> לכאורה</w:t>
      </w:r>
      <w:r>
        <w:rPr>
          <w:rFonts w:ascii="Arial" w:hAnsi="Arial"/>
          <w:noProof w:val="0"/>
          <w:rtl/>
        </w:rPr>
        <w:t xml:space="preserve">, כי מעבר להיותה של ההחלטה קמא החלטה דיונית (ועל כך נעמוד להלן, כנימוק נוסף לדחיית רמ"ש זה אף ללא תשובה), לא היה מקום להורות על מינוי מומחה כמבוקש, מהטעם שחוות דעת בנושא דנן איננה נדרשת </w:t>
      </w:r>
      <w:r w:rsidRPr="00082623">
        <w:rPr>
          <w:rFonts w:ascii="Arial" w:hAnsi="Arial"/>
          <w:b/>
          <w:bCs/>
          <w:noProof w:val="0"/>
          <w:rtl/>
        </w:rPr>
        <w:t>בשלב זה</w:t>
      </w:r>
      <w:r>
        <w:rPr>
          <w:rFonts w:ascii="Arial" w:hAnsi="Arial"/>
          <w:noProof w:val="0"/>
          <w:rtl/>
        </w:rPr>
        <w:t xml:space="preserve"> של הדיון. נפנה בנדון לסעי</w:t>
      </w:r>
      <w:r>
        <w:rPr>
          <w:rFonts w:ascii="Arial" w:hAnsi="Arial" w:hint="cs"/>
          <w:noProof w:val="0"/>
          <w:rtl/>
        </w:rPr>
        <w:t>פים</w:t>
      </w:r>
      <w:r>
        <w:rPr>
          <w:rFonts w:ascii="Arial" w:hAnsi="Arial"/>
          <w:noProof w:val="0"/>
          <w:rtl/>
        </w:rPr>
        <w:t xml:space="preserve"> </w:t>
      </w:r>
      <w:r>
        <w:rPr>
          <w:rFonts w:ascii="Arial" w:hAnsi="Arial" w:hint="cs"/>
          <w:noProof w:val="0"/>
          <w:rtl/>
        </w:rPr>
        <w:t>4-5</w:t>
      </w:r>
      <w:r>
        <w:rPr>
          <w:rFonts w:ascii="Arial" w:hAnsi="Arial"/>
          <w:noProof w:val="0"/>
          <w:rtl/>
        </w:rPr>
        <w:t xml:space="preserve"> להחלטה קמא, שם הדגש הושם על "</w:t>
      </w:r>
      <w:r>
        <w:rPr>
          <w:rFonts w:ascii="Arial" w:hAnsi="Arial"/>
          <w:b/>
          <w:bCs/>
          <w:noProof w:val="0"/>
          <w:rtl/>
        </w:rPr>
        <w:t>בשלב זה</w:t>
      </w:r>
      <w:r>
        <w:rPr>
          <w:rFonts w:ascii="Arial" w:hAnsi="Arial"/>
          <w:noProof w:val="0"/>
          <w:rtl/>
        </w:rPr>
        <w:t>". היינו לא נשלל מינוי של מומחה כאמור בהמשך ההליך, ככל שכך יסבור אז בית משפט קמא.</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 xml:space="preserve">ודוק </w:t>
      </w:r>
      <w:r>
        <w:rPr>
          <w:rFonts w:ascii="Arial" w:hAnsi="Arial"/>
          <w:noProof w:val="0"/>
          <w:rtl/>
        </w:rPr>
        <w:t>–</w:t>
      </w:r>
      <w:r>
        <w:rPr>
          <w:rFonts w:ascii="Arial" w:hAnsi="Arial" w:hint="cs"/>
          <w:noProof w:val="0"/>
          <w:rtl/>
        </w:rPr>
        <w:t xml:space="preserve"> המבקש פועל למעשה לשינוי המצב הקיים כעת, בו איש מהצדדים לא תופס חזקה בבית; הלכה למעשה הוא מבקש לשנות את המצב ולאפשר לו להתגורר </w:t>
      </w:r>
      <w:r w:rsidR="003E467E">
        <w:rPr>
          <w:rFonts w:ascii="Arial" w:hAnsi="Arial" w:hint="cs"/>
          <w:noProof w:val="0"/>
          <w:rtl/>
        </w:rPr>
        <w:t>בבית, ולמצער בחלקו. זאת קשה</w:t>
      </w:r>
      <w:r>
        <w:rPr>
          <w:rFonts w:ascii="Arial" w:hAnsi="Arial" w:hint="cs"/>
          <w:noProof w:val="0"/>
          <w:rtl/>
        </w:rPr>
        <w:t xml:space="preserve"> לאפשר, בשלב זה של ההליכים קמא, ובטרם התבררה תמונת הזכויות וכן זהות יורשי המנוחה וחלקם בעזבונה.</w:t>
      </w:r>
    </w:p>
    <w:p w:rsidR="00B359ED" w:rsidRDefault="00B359ED" w:rsidP="00774B2A">
      <w:pPr>
        <w:spacing w:after="120"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t xml:space="preserve">לא זו אף זו </w:t>
      </w:r>
      <w:r>
        <w:rPr>
          <w:rFonts w:ascii="Arial" w:hAnsi="Arial"/>
          <w:noProof w:val="0"/>
          <w:rtl/>
        </w:rPr>
        <w:t>–</w:t>
      </w:r>
      <w:r>
        <w:rPr>
          <w:rFonts w:ascii="Arial" w:hAnsi="Arial" w:hint="cs"/>
          <w:noProof w:val="0"/>
          <w:rtl/>
        </w:rPr>
        <w:t xml:space="preserve"> המבקש אף מבקש לערער נגד קביעת בית משפט קמא, לפיה </w:t>
      </w:r>
      <w:r w:rsidRPr="00077CDD">
        <w:rPr>
          <w:rFonts w:ascii="Arial" w:hAnsi="Arial"/>
          <w:noProof w:val="0"/>
          <w:rtl/>
        </w:rPr>
        <w:t xml:space="preserve">תידון </w:t>
      </w:r>
      <w:r>
        <w:rPr>
          <w:rFonts w:ascii="Arial" w:hAnsi="Arial" w:hint="cs"/>
          <w:noProof w:val="0"/>
          <w:rtl/>
        </w:rPr>
        <w:t xml:space="preserve">התובענה קמא </w:t>
      </w:r>
      <w:r>
        <w:rPr>
          <w:rFonts w:ascii="Arial" w:hAnsi="Arial"/>
          <w:noProof w:val="0"/>
          <w:rtl/>
        </w:rPr>
        <w:t xml:space="preserve">לאחר מתן </w:t>
      </w:r>
      <w:r w:rsidRPr="00077CDD">
        <w:rPr>
          <w:rFonts w:ascii="Arial" w:hAnsi="Arial"/>
          <w:noProof w:val="0"/>
          <w:rtl/>
        </w:rPr>
        <w:t>החלטה בענין הזכויות בירושת המנוחה</w:t>
      </w:r>
      <w:r>
        <w:rPr>
          <w:rFonts w:ascii="Arial" w:hAnsi="Arial" w:hint="cs"/>
          <w:noProof w:val="0"/>
          <w:rtl/>
        </w:rPr>
        <w:t xml:space="preserve"> (סעיף 9(ד) לעיל)</w:t>
      </w:r>
      <w:r w:rsidRPr="00077CDD">
        <w:rPr>
          <w:rFonts w:ascii="Arial" w:hAnsi="Arial"/>
          <w:noProof w:val="0"/>
          <w:rtl/>
        </w:rPr>
        <w:t>.</w:t>
      </w:r>
      <w:r>
        <w:rPr>
          <w:rFonts w:ascii="Arial" w:hAnsi="Arial" w:hint="cs"/>
          <w:noProof w:val="0"/>
          <w:rtl/>
        </w:rPr>
        <w:t xml:space="preserve"> אלא שקביעה זו כבר נקבעה בהחלטת בית משפט קמא מיום 21.2.2024 (סעיף 6 להחלטה</w:t>
      </w:r>
      <w:r w:rsidR="00774B2A">
        <w:rPr>
          <w:rFonts w:ascii="Arial" w:hAnsi="Arial" w:hint="cs"/>
          <w:noProof w:val="0"/>
          <w:rtl/>
        </w:rPr>
        <w:t xml:space="preserve"> שם</w:t>
      </w:r>
      <w:r>
        <w:rPr>
          <w:rFonts w:ascii="Arial" w:hAnsi="Arial" w:hint="cs"/>
          <w:noProof w:val="0"/>
          <w:rtl/>
        </w:rPr>
        <w:t xml:space="preserve">). </w:t>
      </w:r>
      <w:r w:rsidRPr="00774B2A">
        <w:rPr>
          <w:rFonts w:ascii="Arial" w:hAnsi="Arial" w:hint="cs"/>
          <w:b/>
          <w:bCs/>
          <w:noProof w:val="0"/>
          <w:rtl/>
        </w:rPr>
        <w:t>החלטה</w:t>
      </w:r>
      <w:r>
        <w:rPr>
          <w:rFonts w:ascii="Arial" w:hAnsi="Arial" w:hint="cs"/>
          <w:noProof w:val="0"/>
          <w:rtl/>
        </w:rPr>
        <w:t xml:space="preserve"> </w:t>
      </w:r>
      <w:r w:rsidRPr="00774B2A">
        <w:rPr>
          <w:rFonts w:ascii="Arial" w:hAnsi="Arial" w:hint="cs"/>
          <w:b/>
          <w:bCs/>
          <w:noProof w:val="0"/>
          <w:rtl/>
        </w:rPr>
        <w:t>זו</w:t>
      </w:r>
      <w:r>
        <w:rPr>
          <w:rFonts w:ascii="Arial" w:hAnsi="Arial" w:hint="cs"/>
          <w:noProof w:val="0"/>
          <w:rtl/>
        </w:rPr>
        <w:t xml:space="preserve"> </w:t>
      </w:r>
      <w:r w:rsidRPr="00774B2A">
        <w:rPr>
          <w:rFonts w:ascii="Arial" w:hAnsi="Arial" w:hint="cs"/>
          <w:b/>
          <w:bCs/>
          <w:noProof w:val="0"/>
          <w:rtl/>
        </w:rPr>
        <w:t>חלוטה</w:t>
      </w:r>
      <w:r>
        <w:rPr>
          <w:rFonts w:ascii="Arial" w:hAnsi="Arial" w:hint="cs"/>
          <w:noProof w:val="0"/>
          <w:rtl/>
        </w:rPr>
        <w:t xml:space="preserve"> </w:t>
      </w:r>
      <w:r w:rsidRPr="00774B2A">
        <w:rPr>
          <w:rFonts w:ascii="Arial" w:hAnsi="Arial" w:hint="cs"/>
          <w:b/>
          <w:bCs/>
          <w:noProof w:val="0"/>
          <w:rtl/>
        </w:rPr>
        <w:t>כעת</w:t>
      </w:r>
      <w:r w:rsidR="00774B2A">
        <w:rPr>
          <w:rFonts w:ascii="Arial" w:hAnsi="Arial" w:hint="cs"/>
          <w:noProof w:val="0"/>
          <w:rtl/>
        </w:rPr>
        <w:t>, מש</w:t>
      </w:r>
      <w:r>
        <w:rPr>
          <w:rFonts w:ascii="Arial" w:hAnsi="Arial" w:hint="cs"/>
          <w:noProof w:val="0"/>
          <w:rtl/>
        </w:rPr>
        <w:t>לא הוגשה בגינה בקשת רשות ערעור</w:t>
      </w:r>
      <w:r w:rsidR="00774B2A">
        <w:rPr>
          <w:rFonts w:ascii="Arial" w:hAnsi="Arial" w:hint="cs"/>
          <w:noProof w:val="0"/>
          <w:rtl/>
        </w:rPr>
        <w:t>.</w:t>
      </w:r>
      <w:r>
        <w:rPr>
          <w:rFonts w:ascii="Arial" w:hAnsi="Arial" w:hint="cs"/>
          <w:noProof w:val="0"/>
          <w:rtl/>
        </w:rPr>
        <w:t xml:space="preserve"> מכאן כי לא ניתן לבקש לערער עליה כעת.</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15</w:t>
      </w:r>
      <w:r>
        <w:rPr>
          <w:rFonts w:ascii="Arial" w:hAnsi="Arial"/>
          <w:noProof w:val="0"/>
          <w:rtl/>
        </w:rPr>
        <w:t>.</w:t>
      </w:r>
      <w:r>
        <w:rPr>
          <w:rFonts w:ascii="Arial" w:hAnsi="Arial"/>
          <w:noProof w:val="0"/>
          <w:rtl/>
        </w:rPr>
        <w:tab/>
        <w:t xml:space="preserve">מעבר לכך, דחיית הבקשה למנות מומחה </w:t>
      </w:r>
      <w:r>
        <w:rPr>
          <w:rFonts w:ascii="Arial" w:hAnsi="Arial" w:hint="cs"/>
          <w:noProof w:val="0"/>
          <w:rtl/>
        </w:rPr>
        <w:t>להנדסה כאמור</w:t>
      </w:r>
      <w:r>
        <w:rPr>
          <w:rFonts w:ascii="Arial" w:hAnsi="Arial"/>
          <w:noProof w:val="0"/>
          <w:rtl/>
        </w:rPr>
        <w:t xml:space="preserve"> לעיל בשלב זה של ההליך, היא </w:t>
      </w:r>
      <w:r w:rsidRPr="003E467E">
        <w:rPr>
          <w:rFonts w:ascii="Arial" w:hAnsi="Arial"/>
          <w:b/>
          <w:bCs/>
          <w:noProof w:val="0"/>
          <w:rtl/>
        </w:rPr>
        <w:t>החלטה דיונית</w:t>
      </w:r>
      <w:r>
        <w:rPr>
          <w:rFonts w:ascii="Arial" w:hAnsi="Arial"/>
          <w:noProof w:val="0"/>
          <w:rtl/>
        </w:rPr>
        <w:t xml:space="preserve"> בה ממעטת ערכאת הערעור להתערב. </w:t>
      </w:r>
    </w:p>
    <w:p w:rsidR="00B359ED" w:rsidRDefault="00B359ED" w:rsidP="00B359ED">
      <w:pPr>
        <w:spacing w:after="120" w:line="360" w:lineRule="auto"/>
        <w:ind w:left="720" w:hanging="720"/>
        <w:jc w:val="both"/>
        <w:rPr>
          <w:rFonts w:ascii="Arial" w:hAnsi="Arial"/>
          <w:noProof w:val="0"/>
          <w:rtl/>
        </w:rPr>
      </w:pPr>
      <w:r>
        <w:rPr>
          <w:rFonts w:ascii="Arial" w:hAnsi="Arial"/>
          <w:noProof w:val="0"/>
          <w:rtl/>
        </w:rPr>
        <w:tab/>
        <w:t>נאמר לא אחת בפסיקה, כי החלטה אם למנות מומחה אם לאו היא החלטה דיונית מובהקת המצויה בליבת שיקול הדעת של הערכאה הדיונית, וערכאת הערעור לא תתערב בהחלטות מסוג זה אלא במקרים חריגים בלבד.</w:t>
      </w:r>
    </w:p>
    <w:p w:rsidR="00B359ED" w:rsidRDefault="00B359ED" w:rsidP="00B359ED">
      <w:pPr>
        <w:spacing w:after="120" w:line="360" w:lineRule="auto"/>
        <w:ind w:left="720" w:hanging="720"/>
        <w:jc w:val="both"/>
        <w:rPr>
          <w:rFonts w:ascii="Arial" w:hAnsi="Arial"/>
          <w:noProof w:val="0"/>
          <w:rtl/>
        </w:rPr>
      </w:pPr>
      <w:r>
        <w:rPr>
          <w:rFonts w:ascii="Arial" w:hAnsi="Arial"/>
          <w:noProof w:val="0"/>
          <w:rtl/>
        </w:rPr>
        <w:t xml:space="preserve">          </w:t>
      </w:r>
      <w:r>
        <w:rPr>
          <w:rFonts w:ascii="Arial" w:hAnsi="Arial"/>
          <w:noProof w:val="0"/>
          <w:rtl/>
        </w:rPr>
        <w:tab/>
      </w:r>
      <w:r>
        <w:rPr>
          <w:rFonts w:ascii="Arial" w:hAnsi="Arial"/>
          <w:noProof w:val="0"/>
          <w:u w:val="single"/>
          <w:rtl/>
        </w:rPr>
        <w:t>ראו לענין זה</w:t>
      </w:r>
      <w:r>
        <w:rPr>
          <w:rFonts w:ascii="Arial" w:hAnsi="Arial"/>
          <w:noProof w:val="0"/>
          <w:rtl/>
        </w:rPr>
        <w:t>:</w:t>
      </w:r>
    </w:p>
    <w:p w:rsidR="00B359ED" w:rsidRDefault="00B359ED" w:rsidP="00B359ED">
      <w:pPr>
        <w:spacing w:after="120" w:line="360" w:lineRule="auto"/>
        <w:ind w:left="720" w:hanging="720"/>
        <w:jc w:val="both"/>
        <w:rPr>
          <w:rFonts w:ascii="Arial" w:hAnsi="Arial"/>
          <w:noProof w:val="0"/>
          <w:rtl/>
        </w:rPr>
      </w:pPr>
      <w:r>
        <w:rPr>
          <w:rFonts w:ascii="Arial" w:hAnsi="Arial"/>
          <w:noProof w:val="0"/>
          <w:rtl/>
        </w:rPr>
        <w:tab/>
        <w:t>רע"א 1657/23 ‏</w:t>
      </w:r>
      <w:r>
        <w:rPr>
          <w:rFonts w:ascii="Arial" w:hAnsi="Arial"/>
          <w:b/>
          <w:bCs/>
          <w:noProof w:val="0"/>
          <w:rtl/>
        </w:rPr>
        <w:t>קורוצ'קין נ' המרכז הרפואי ברזילי</w:t>
      </w:r>
      <w:r>
        <w:rPr>
          <w:rFonts w:ascii="Arial" w:hAnsi="Arial"/>
          <w:noProof w:val="0"/>
          <w:rtl/>
        </w:rPr>
        <w:t>, פסקה 4 (15.3.2023);</w:t>
      </w:r>
    </w:p>
    <w:p w:rsidR="00B359ED" w:rsidRDefault="00B359ED" w:rsidP="00B359ED">
      <w:pPr>
        <w:spacing w:after="120" w:line="360" w:lineRule="auto"/>
        <w:ind w:left="720" w:hanging="720"/>
        <w:jc w:val="both"/>
        <w:rPr>
          <w:rFonts w:ascii="Arial" w:hAnsi="Arial"/>
          <w:noProof w:val="0"/>
          <w:rtl/>
        </w:rPr>
      </w:pPr>
      <w:r>
        <w:rPr>
          <w:rFonts w:ascii="Arial" w:hAnsi="Arial"/>
          <w:noProof w:val="0"/>
          <w:rtl/>
        </w:rPr>
        <w:tab/>
        <w:t xml:space="preserve">רמ"ש (נצ') 11314-01-23 </w:t>
      </w:r>
      <w:r>
        <w:rPr>
          <w:rFonts w:ascii="Arial" w:hAnsi="Arial"/>
          <w:b/>
          <w:bCs/>
          <w:noProof w:val="0"/>
          <w:rtl/>
        </w:rPr>
        <w:t>א.ח. נ' נ.פ.</w:t>
      </w:r>
      <w:r>
        <w:rPr>
          <w:rFonts w:ascii="Arial" w:hAnsi="Arial"/>
          <w:noProof w:val="0"/>
          <w:rtl/>
        </w:rPr>
        <w:t xml:space="preserve">, פסקה 28.7 (26.3.2023); </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16</w:t>
      </w:r>
      <w:r>
        <w:rPr>
          <w:rFonts w:ascii="Arial" w:hAnsi="Arial"/>
          <w:noProof w:val="0"/>
          <w:rtl/>
        </w:rPr>
        <w:t>.</w:t>
      </w:r>
      <w:r>
        <w:rPr>
          <w:rFonts w:ascii="Arial" w:hAnsi="Arial"/>
          <w:noProof w:val="0"/>
          <w:rtl/>
        </w:rPr>
        <w:tab/>
      </w:r>
      <w:r>
        <w:rPr>
          <w:rFonts w:ascii="Arial" w:hAnsi="Arial"/>
          <w:noProof w:val="0"/>
          <w:u w:val="single"/>
          <w:rtl/>
        </w:rPr>
        <w:t xml:space="preserve">יפים לענין זה דברים שכתבתי ברמ"ש (חי') 31181-09-22 </w:t>
      </w:r>
      <w:r>
        <w:rPr>
          <w:rFonts w:ascii="Arial" w:hAnsi="Arial"/>
          <w:b/>
          <w:bCs/>
          <w:noProof w:val="0"/>
          <w:u w:val="single"/>
          <w:rtl/>
        </w:rPr>
        <w:t xml:space="preserve">ד.ק. נ' א.ש. ואח' </w:t>
      </w:r>
      <w:r>
        <w:rPr>
          <w:rFonts w:ascii="Arial" w:hAnsi="Arial"/>
          <w:noProof w:val="0"/>
          <w:u w:val="single"/>
          <w:rtl/>
        </w:rPr>
        <w:t>(30.10.2022), כדלקמן</w:t>
      </w:r>
      <w:r>
        <w:rPr>
          <w:rFonts w:ascii="Arial" w:hAnsi="Arial"/>
          <w:noProof w:val="0"/>
          <w:rtl/>
        </w:rPr>
        <w:t>:</w:t>
      </w:r>
    </w:p>
    <w:p w:rsidR="00B359ED" w:rsidRDefault="00B359ED" w:rsidP="00B359ED">
      <w:pPr>
        <w:spacing w:after="120" w:line="360" w:lineRule="auto"/>
        <w:ind w:left="720" w:right="851" w:hanging="720"/>
        <w:jc w:val="both"/>
        <w:rPr>
          <w:rFonts w:ascii="Arial" w:hAnsi="Arial"/>
          <w:b/>
          <w:bCs/>
          <w:noProof w:val="0"/>
          <w:rtl/>
        </w:rPr>
      </w:pPr>
      <w:r>
        <w:rPr>
          <w:rFonts w:ascii="Arial" w:hAnsi="Arial"/>
          <w:b/>
          <w:bCs/>
          <w:noProof w:val="0"/>
          <w:rtl/>
        </w:rPr>
        <w:tab/>
        <w:t>"... דחיית הבקשה למנות מומחה כאמור לעיל בשלב זה של ההליך, היא החלטה דיונית בה ממעטת ערכאת הערעור להתערב (וכפי שנראה...להלן, יש אפשרות כי בית המשפט קמא יידרש לה בהמשך ההליך</w:t>
      </w:r>
      <w:r w:rsidR="003E467E">
        <w:rPr>
          <w:rFonts w:ascii="Arial" w:hAnsi="Arial" w:hint="cs"/>
          <w:b/>
          <w:bCs/>
          <w:noProof w:val="0"/>
          <w:rtl/>
        </w:rPr>
        <w:t>)</w:t>
      </w:r>
      <w:r>
        <w:rPr>
          <w:rFonts w:ascii="Arial" w:hAnsi="Arial"/>
          <w:b/>
          <w:bCs/>
          <w:noProof w:val="0"/>
          <w:rtl/>
        </w:rPr>
        <w:t>.</w:t>
      </w:r>
    </w:p>
    <w:p w:rsidR="00B359ED" w:rsidRDefault="00B359ED" w:rsidP="00B359ED">
      <w:pPr>
        <w:spacing w:after="120" w:line="360" w:lineRule="auto"/>
        <w:ind w:left="720" w:right="851" w:hanging="720"/>
        <w:jc w:val="both"/>
        <w:rPr>
          <w:rFonts w:ascii="Arial" w:hAnsi="Arial"/>
          <w:b/>
          <w:bCs/>
          <w:noProof w:val="0"/>
          <w:rtl/>
        </w:rPr>
      </w:pPr>
      <w:r>
        <w:rPr>
          <w:rFonts w:ascii="Arial" w:hAnsi="Arial"/>
          <w:b/>
          <w:bCs/>
          <w:noProof w:val="0"/>
          <w:rtl/>
        </w:rPr>
        <w:tab/>
        <w:t>במצב דברים זה, ומשההחלטה נומקה, לא ראיתי להתערב בהחלטה קמא.</w:t>
      </w:r>
    </w:p>
    <w:p w:rsidR="00B359ED" w:rsidRDefault="00B359ED" w:rsidP="00B359ED">
      <w:pPr>
        <w:spacing w:after="120" w:line="360" w:lineRule="auto"/>
        <w:ind w:left="720" w:right="851" w:hanging="720"/>
        <w:jc w:val="both"/>
        <w:rPr>
          <w:rFonts w:ascii="Arial" w:hAnsi="Arial"/>
          <w:noProof w:val="0"/>
          <w:rtl/>
        </w:rPr>
      </w:pPr>
      <w:r>
        <w:rPr>
          <w:rFonts w:ascii="Arial" w:hAnsi="Arial"/>
          <w:b/>
          <w:bCs/>
          <w:noProof w:val="0"/>
          <w:rtl/>
        </w:rPr>
        <w:tab/>
        <w:t xml:space="preserve">נאמר לא אחת בפסיקה, כי בהחלטות דיוניות כאמור, לערכאה המבררת נתון שיקול דעת רחב, וכאמור ערכאת הערעור ממעטת להתערב; התערבות בהחלטות מעין אלו שמורה למקרים חריגים בלבד" </w:t>
      </w:r>
      <w:r>
        <w:rPr>
          <w:rFonts w:ascii="Arial" w:hAnsi="Arial"/>
          <w:noProof w:val="0"/>
          <w:rtl/>
        </w:rPr>
        <w:t xml:space="preserve">(ציטוט מפסקה 17).   </w:t>
      </w:r>
    </w:p>
    <w:p w:rsidR="00B359ED" w:rsidRDefault="00B359ED" w:rsidP="003E467E">
      <w:pPr>
        <w:spacing w:after="120" w:line="360" w:lineRule="auto"/>
        <w:ind w:left="720" w:hanging="720"/>
        <w:jc w:val="both"/>
        <w:rPr>
          <w:rFonts w:ascii="Arial" w:hAnsi="Arial"/>
          <w:noProof w:val="0"/>
          <w:rtl/>
        </w:rPr>
      </w:pPr>
      <w:r>
        <w:rPr>
          <w:rFonts w:ascii="Arial" w:hAnsi="Arial" w:hint="cs"/>
          <w:noProof w:val="0"/>
          <w:rtl/>
        </w:rPr>
        <w:lastRenderedPageBreak/>
        <w:t>17</w:t>
      </w:r>
      <w:r>
        <w:rPr>
          <w:rFonts w:ascii="Arial" w:hAnsi="Arial"/>
          <w:noProof w:val="0"/>
          <w:rtl/>
        </w:rPr>
        <w:t>.</w:t>
      </w:r>
      <w:r>
        <w:rPr>
          <w:rFonts w:ascii="Arial" w:hAnsi="Arial"/>
          <w:noProof w:val="0"/>
          <w:rtl/>
        </w:rPr>
        <w:tab/>
      </w:r>
      <w:r w:rsidR="003E467E">
        <w:rPr>
          <w:rFonts w:ascii="Arial" w:hAnsi="Arial" w:hint="cs"/>
          <w:noProof w:val="0"/>
          <w:rtl/>
        </w:rPr>
        <w:t xml:space="preserve">לאור כל זאת </w:t>
      </w:r>
      <w:r>
        <w:rPr>
          <w:rFonts w:ascii="Arial" w:hAnsi="Arial"/>
          <w:noProof w:val="0"/>
          <w:rtl/>
        </w:rPr>
        <w:t xml:space="preserve">לא מצאתי </w:t>
      </w:r>
      <w:r>
        <w:rPr>
          <w:rFonts w:ascii="Arial" w:hAnsi="Arial" w:hint="cs"/>
          <w:noProof w:val="0"/>
          <w:rtl/>
        </w:rPr>
        <w:t>בנסיבות העניין</w:t>
      </w:r>
      <w:r>
        <w:rPr>
          <w:rFonts w:ascii="Arial" w:hAnsi="Arial"/>
          <w:noProof w:val="0"/>
          <w:rtl/>
        </w:rPr>
        <w:t xml:space="preserve"> כי נפלה טעות בהחלטה קמא</w:t>
      </w:r>
      <w:r w:rsidR="003E467E">
        <w:rPr>
          <w:rFonts w:ascii="Arial" w:hAnsi="Arial" w:hint="cs"/>
          <w:noProof w:val="0"/>
          <w:rtl/>
        </w:rPr>
        <w:t>,</w:t>
      </w:r>
      <w:r>
        <w:rPr>
          <w:rFonts w:ascii="Arial" w:hAnsi="Arial" w:hint="cs"/>
          <w:noProof w:val="0"/>
          <w:rtl/>
        </w:rPr>
        <w:t xml:space="preserve"> </w:t>
      </w:r>
      <w:r>
        <w:rPr>
          <w:rFonts w:ascii="Arial" w:hAnsi="Arial"/>
          <w:noProof w:val="0"/>
          <w:rtl/>
        </w:rPr>
        <w:t>שהיא במהותה דיונית, שתצדיק, באופן חריג, את התערבות ערכאת הערעור.</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18</w:t>
      </w:r>
      <w:r>
        <w:rPr>
          <w:rFonts w:ascii="Arial" w:hAnsi="Arial"/>
          <w:noProof w:val="0"/>
          <w:rtl/>
        </w:rPr>
        <w:t>.</w:t>
      </w:r>
      <w:r>
        <w:rPr>
          <w:rFonts w:ascii="Arial" w:hAnsi="Arial"/>
          <w:noProof w:val="0"/>
          <w:rtl/>
        </w:rPr>
        <w:tab/>
      </w:r>
      <w:r w:rsidRPr="000A2F0B">
        <w:rPr>
          <w:rFonts w:ascii="Arial" w:hAnsi="Arial"/>
          <w:b/>
          <w:bCs/>
          <w:noProof w:val="0"/>
          <w:rtl/>
        </w:rPr>
        <w:t>לאו</w:t>
      </w:r>
      <w:r w:rsidRPr="00082623">
        <w:rPr>
          <w:rFonts w:ascii="Arial" w:hAnsi="Arial"/>
          <w:b/>
          <w:bCs/>
          <w:noProof w:val="0"/>
          <w:rtl/>
        </w:rPr>
        <w:t>ר כל זאת שוכנעתי לדחות בקשת רשות ערעור זו אף ללא בתשובה</w:t>
      </w:r>
      <w:r>
        <w:rPr>
          <w:rFonts w:ascii="Arial" w:hAnsi="Arial"/>
          <w:noProof w:val="0"/>
          <w:rtl/>
        </w:rPr>
        <w:t>.</w:t>
      </w:r>
    </w:p>
    <w:p w:rsidR="00B359ED" w:rsidRDefault="00B359ED" w:rsidP="00B359ED">
      <w:pPr>
        <w:spacing w:after="120" w:line="360" w:lineRule="auto"/>
        <w:ind w:left="720" w:hanging="720"/>
        <w:jc w:val="both"/>
        <w:rPr>
          <w:rFonts w:ascii="Arial" w:hAnsi="Arial"/>
          <w:noProof w:val="0"/>
          <w:rtl/>
        </w:rPr>
      </w:pPr>
      <w:r>
        <w:rPr>
          <w:rFonts w:ascii="Arial" w:hAnsi="Arial" w:hint="cs"/>
          <w:noProof w:val="0"/>
          <w:rtl/>
        </w:rPr>
        <w:t>19</w:t>
      </w:r>
      <w:r>
        <w:rPr>
          <w:rFonts w:ascii="Arial" w:hAnsi="Arial"/>
          <w:noProof w:val="0"/>
          <w:rtl/>
        </w:rPr>
        <w:t>.</w:t>
      </w:r>
      <w:r>
        <w:rPr>
          <w:rFonts w:ascii="Arial" w:hAnsi="Arial"/>
          <w:noProof w:val="0"/>
          <w:rtl/>
        </w:rPr>
        <w:tab/>
        <w:t>משלא התבקשה תשובה אין צו להוצאות.</w:t>
      </w:r>
    </w:p>
    <w:p w:rsidR="00B359ED" w:rsidRDefault="00B359ED" w:rsidP="00B359ED">
      <w:pPr>
        <w:spacing w:after="120" w:line="360" w:lineRule="auto"/>
        <w:ind w:left="720" w:hanging="720"/>
        <w:jc w:val="both"/>
        <w:rPr>
          <w:rFonts w:ascii="Arial" w:hAnsi="Arial"/>
          <w:noProof w:val="0"/>
          <w:rtl/>
        </w:rPr>
      </w:pPr>
    </w:p>
    <w:p w:rsidR="00B359ED" w:rsidRDefault="00B359ED" w:rsidP="00B359ED">
      <w:pPr>
        <w:spacing w:after="120" w:line="360" w:lineRule="auto"/>
        <w:ind w:left="720" w:hanging="720"/>
        <w:jc w:val="both"/>
        <w:rPr>
          <w:rFonts w:ascii="Arial" w:hAnsi="Arial"/>
          <w:b/>
          <w:bCs/>
          <w:noProof w:val="0"/>
          <w:rtl/>
        </w:rPr>
      </w:pPr>
      <w:r>
        <w:rPr>
          <w:rFonts w:ascii="Arial" w:hAnsi="Arial"/>
          <w:b/>
          <w:bCs/>
          <w:noProof w:val="0"/>
          <w:rtl/>
        </w:rPr>
        <w:t>המזכירות תעביר החלטה זאת לצדדים.</w:t>
      </w:r>
    </w:p>
    <w:p w:rsidR="00B359ED" w:rsidRDefault="00B359ED" w:rsidP="00B359ED">
      <w:pPr>
        <w:spacing w:after="120" w:line="360" w:lineRule="auto"/>
        <w:ind w:left="720" w:hanging="720"/>
        <w:jc w:val="both"/>
        <w:rPr>
          <w:rFonts w:ascii="Arial" w:hAnsi="Arial"/>
          <w:b/>
          <w:bCs/>
          <w:noProof w:val="0"/>
          <w:rtl/>
        </w:rPr>
      </w:pPr>
    </w:p>
    <w:p w:rsidR="00B359ED" w:rsidRDefault="00B359ED" w:rsidP="00B359ED">
      <w:pPr>
        <w:spacing w:after="120" w:line="360" w:lineRule="auto"/>
        <w:ind w:left="720" w:hanging="720"/>
        <w:jc w:val="both"/>
      </w:pPr>
      <w:r>
        <w:rPr>
          <w:rFonts w:ascii="Arial" w:hAnsi="Arial"/>
          <w:b/>
          <w:bCs/>
          <w:noProof w:val="0"/>
          <w:rtl/>
        </w:rPr>
        <w:t xml:space="preserve">החלטה זאת מותרת לפרסום תוך השמטת שמות הצדדים, וכל פרט מזהה אחר. </w:t>
      </w:r>
      <w:r>
        <w:rPr>
          <w:rFonts w:hint="cs"/>
          <w:rtl/>
        </w:rPr>
        <w:t xml:space="preserve">        </w:t>
      </w:r>
    </w:p>
    <w:p w:rsidR="00B359ED" w:rsidRDefault="00B359ED" w:rsidP="00B359ED">
      <w:pPr>
        <w:tabs>
          <w:tab w:val="left" w:pos="2553"/>
        </w:tabs>
        <w:rPr>
          <w:rFonts w:ascii="Arial" w:hAnsi="Arial"/>
          <w:noProof w:val="0"/>
          <w:rtl/>
        </w:rPr>
      </w:pPr>
    </w:p>
    <w:p w:rsidR="00694556" w:rsidRPr="00B95D6E" w:rsidRDefault="00694556">
      <w:pPr>
        <w:spacing w:line="360" w:lineRule="auto"/>
        <w:jc w:val="both"/>
        <w:rPr>
          <w:rFonts w:ascii="Arial" w:hAnsi="Arial"/>
          <w:noProof w:val="0"/>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י"ב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יולי 2024</w:t>
          </w:r>
        </w:sdtContent>
      </w:sdt>
      <w:r w:rsidR="00005C8B">
        <w:rPr>
          <w:rFonts w:ascii="Arial" w:hAnsi="Arial"/>
          <w:noProof w:val="0"/>
          <w:rtl/>
        </w:rPr>
        <w:t>, בהעדר הצדדים.</w:t>
      </w:r>
    </w:p>
    <w:p w:rsidR="00C43648" w:rsidRDefault="000C639D"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65183644"/>
        </w:sdtPr>
        <w:sdtEndPr/>
        <w:sdtContent>
          <w:r w:rsidR="00852B15">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B359ED">
      <w:headerReference w:type="even" r:id="rId10"/>
      <w:headerReference w:type="default" r:id="rId11"/>
      <w:footerReference w:type="even" r:id="rId12"/>
      <w:footerReference w:type="default" r:id="rId13"/>
      <w:headerReference w:type="first" r:id="rId14"/>
      <w:footerReference w:type="first" r:id="rId15"/>
      <w:pgSz w:w="11907" w:h="16840" w:code="9"/>
      <w:pgMar w:top="1440" w:right="992" w:bottom="1440" w:left="1418"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2B15" w:rsidRDefault="00852B15">
      <w:r>
        <w:separator/>
      </w:r>
    </w:p>
  </w:endnote>
  <w:endnote w:type="continuationSeparator" w:id="0">
    <w:p w:rsidR="00852B15" w:rsidRDefault="00852B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39D" w:rsidRDefault="000C639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0C639D">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0C639D">
      <w:rPr>
        <w:rStyle w:val="ab"/>
        <w:rFonts w:ascii="David" w:hAnsi="David"/>
        <w:rtl/>
      </w:rPr>
      <w:t>5</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39D" w:rsidRDefault="000C639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2B15" w:rsidRDefault="00852B15">
      <w:r>
        <w:separator/>
      </w:r>
    </w:p>
  </w:footnote>
  <w:footnote w:type="continuationSeparator" w:id="0">
    <w:p w:rsidR="00852B15" w:rsidRDefault="00852B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39D" w:rsidRDefault="000C63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0"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B359ED" w:rsidRDefault="000C639D" w:rsidP="00B359ED">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0" w:name="_GoBack"/>
          <w:sdt>
            <w:sdtPr>
              <w:rPr>
                <w:rtl/>
              </w:rPr>
              <w:alias w:val="1171"/>
              <w:tag w:val="1171"/>
              <w:id w:val="257034231"/>
              <w:text w:multiLine="1"/>
            </w:sdtPr>
            <w:sdtEndPr/>
            <w:sdtContent>
              <w:r w:rsidR="00E765F7">
                <w:rPr>
                  <w:b/>
                  <w:bCs/>
                  <w:noProof w:val="0"/>
                  <w:sz w:val="26"/>
                  <w:szCs w:val="26"/>
                  <w:rtl/>
                </w:rPr>
                <w:t>45472-07-24</w:t>
              </w:r>
            </w:sdtContent>
          </w:sdt>
          <w:bookmarkEnd w:id="0"/>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430369">
                <w:rPr>
                  <w:b/>
                  <w:bCs/>
                  <w:noProof w:val="0"/>
                  <w:sz w:val="26"/>
                  <w:szCs w:val="26"/>
                  <w:rtl/>
                </w:rPr>
                <w:t>א</w:t>
              </w:r>
              <w:r w:rsidR="00430369">
                <w:rPr>
                  <w:rFonts w:hint="cs"/>
                  <w:b/>
                  <w:bCs/>
                  <w:noProof w:val="0"/>
                  <w:sz w:val="26"/>
                  <w:szCs w:val="26"/>
                  <w:rtl/>
                </w:rPr>
                <w:t>'</w:t>
              </w:r>
              <w:r w:rsidR="00430369">
                <w:rPr>
                  <w:b/>
                  <w:bCs/>
                  <w:noProof w:val="0"/>
                  <w:sz w:val="26"/>
                  <w:szCs w:val="26"/>
                  <w:rtl/>
                </w:rPr>
                <w:t xml:space="preserve"> נ' ק</w:t>
              </w:r>
              <w:r w:rsidR="00430369">
                <w:rPr>
                  <w:rFonts w:hint="cs"/>
                  <w:b/>
                  <w:bCs/>
                  <w:noProof w:val="0"/>
                  <w:sz w:val="26"/>
                  <w:szCs w:val="26"/>
                  <w:rtl/>
                </w:rPr>
                <w:t>'</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639D" w:rsidRDefault="000C639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4084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408458&amp;lt;/CaseID&amp;gt;_x000d__x000a_        &amp;lt;CaseMonth&amp;gt;7&amp;lt;/CaseMonth&amp;gt;_x000d__x000a_        &amp;lt;CaseYear&amp;gt;2024&amp;lt;/CaseYear&amp;gt;_x000d__x000a_        &amp;lt;CaseNumber&amp;gt;45472&amp;lt;/CaseNumber&amp;gt;_x000d__x000a_        &amp;lt;NumeratorGroupID&amp;gt;1&amp;lt;/NumeratorGroupID&amp;gt;_x000d__x000a_        &amp;lt;CaseName&amp;gt;אחמד נ&amp;#39; קילאנ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472-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4-07-17T14:5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408458&amp;lt;/CaseID&amp;gt;_x000d__x000a_        &amp;lt;CaseMonth&amp;gt;7&amp;lt;/CaseMonth&amp;gt;_x000d__x000a_        &amp;lt;CaseYear&amp;gt;2024&amp;lt;/CaseYear&amp;gt;_x000d__x000a_        &amp;lt;CaseNumber&amp;gt;45472&amp;lt;/CaseNumber&amp;gt;_x000d__x000a_        &amp;lt;NumeratorGroupID&amp;gt;1&amp;lt;/NumeratorGroupID&amp;gt;_x000d__x000a_        &amp;lt;CaseName&amp;gt;אחמד נ&amp;#39; קילאני&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45472-07-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4-07-17T14:5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68326&amp;lt;/DecisionID&amp;gt;_x000d__x000a_        &amp;lt;DecisionName&amp;gt;החלטה  שניתנה ע&amp;quot;י  חננאל שרעבי&amp;lt;/DecisionName&amp;gt;_x000d__x000a_        &amp;lt;DecisionStatusID&amp;gt;1&amp;lt;/DecisionStatusID&amp;gt;_x000d__x000a_        &amp;lt;DecisionStatusChangeDate&amp;gt;2024-07-18T17:54:08.783+03:00&amp;lt;/DecisionStatusChangeDate&amp;gt;_x000d__x000a_        &amp;lt;DecisionSignatureDate&amp;gt;2024-07-18T17:51:11.693+03:00&amp;lt;/DecisionSignatureDate&amp;gt;_x000d__x000a_        &amp;lt;DecisionSignatureUserID&amp;gt;056479827@GOV.IL&amp;lt;/DecisionSignatureUserID&amp;gt;_x000d__x000a_        &amp;lt;DecisionCreateDate&amp;gt;2024-07-18T17:54:08.8+03:00&amp;lt;/DecisionCreateDate&amp;gt;_x000d__x000a_        &amp;lt;DecisionChangeDate&amp;gt;2024-07-18T17:54:08.89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926953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2968326&amp;lt;/DecisionID&amp;gt;_x000d__x000a_        &amp;lt;CaseID&amp;gt;81408458&amp;lt;/CaseID&amp;gt;_x000d__x000a_        &amp;lt;IsOriginal&amp;gt;true&amp;lt;/IsOriginal&amp;gt;_x000d__x000a_        &amp;lt;IsDeleted&amp;gt;false&amp;lt;/IsDeleted&amp;gt;_x000d__x000a_        &amp;lt;CaseName&amp;gt;אחמד נ&amp;#39; קילאני&amp;lt;/CaseName&amp;gt;_x000d__x000a_        &amp;lt;CaseDisplayIdentifier&amp;gt;45472-07-24 רמ&amp;quot;ש&amp;lt;/CaseDisplayIdentifier&amp;gt;_x000d__x000a_      &amp;lt;/dt_DecisionCase&amp;gt;_x000d__x000a_    &amp;lt;/DecisionDS&amp;gt;_x000d__x000a_  &amp;lt;/diffgr:diffgram&amp;gt;_x000d__x000a_&amp;lt;/DecisionDS&amp;gt;"/>
    <w:docVar w:name="DecisionID" w:val="152968326"/>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C639D"/>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59A7"/>
    <w:rsid w:val="002265FF"/>
    <w:rsid w:val="00226EE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3E467E"/>
    <w:rsid w:val="0040096C"/>
    <w:rsid w:val="00414F1F"/>
    <w:rsid w:val="00430369"/>
    <w:rsid w:val="0043125D"/>
    <w:rsid w:val="0043502B"/>
    <w:rsid w:val="004443AC"/>
    <w:rsid w:val="00444B02"/>
    <w:rsid w:val="00451E28"/>
    <w:rsid w:val="004527F2"/>
    <w:rsid w:val="004549C7"/>
    <w:rsid w:val="00462C62"/>
    <w:rsid w:val="00465D36"/>
    <w:rsid w:val="00497A97"/>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93DD3"/>
    <w:rsid w:val="005C0627"/>
    <w:rsid w:val="005F4F0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74B2A"/>
    <w:rsid w:val="00795365"/>
    <w:rsid w:val="007A351D"/>
    <w:rsid w:val="007B7765"/>
    <w:rsid w:val="007C5BDD"/>
    <w:rsid w:val="007D45E3"/>
    <w:rsid w:val="007E6115"/>
    <w:rsid w:val="007F4609"/>
    <w:rsid w:val="00814468"/>
    <w:rsid w:val="008176A1"/>
    <w:rsid w:val="00820005"/>
    <w:rsid w:val="00841158"/>
    <w:rsid w:val="00844318"/>
    <w:rsid w:val="00851257"/>
    <w:rsid w:val="00852B15"/>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12C9B"/>
    <w:rsid w:val="00A3392B"/>
    <w:rsid w:val="00A81988"/>
    <w:rsid w:val="00A85E34"/>
    <w:rsid w:val="00A87DF6"/>
    <w:rsid w:val="00A9144F"/>
    <w:rsid w:val="00A94B64"/>
    <w:rsid w:val="00AA3229"/>
    <w:rsid w:val="00AA7596"/>
    <w:rsid w:val="00AB5E52"/>
    <w:rsid w:val="00AC3B02"/>
    <w:rsid w:val="00AC3B7B"/>
    <w:rsid w:val="00AC5209"/>
    <w:rsid w:val="00AC5857"/>
    <w:rsid w:val="00AD024E"/>
    <w:rsid w:val="00AE0B54"/>
    <w:rsid w:val="00AE0E34"/>
    <w:rsid w:val="00AE729E"/>
    <w:rsid w:val="00AE7752"/>
    <w:rsid w:val="00AF7FDA"/>
    <w:rsid w:val="00B359ED"/>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1B09"/>
    <w:rsid w:val="00CC7622"/>
    <w:rsid w:val="00CD516B"/>
    <w:rsid w:val="00CD608F"/>
    <w:rsid w:val="00CE0084"/>
    <w:rsid w:val="00CF6BB7"/>
    <w:rsid w:val="00D04AA4"/>
    <w:rsid w:val="00D20B5D"/>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9269D"/>
    <w:rsid w:val="00E9604A"/>
    <w:rsid w:val="00E962E3"/>
    <w:rsid w:val="00EB6C79"/>
    <w:rsid w:val="00EC37E9"/>
    <w:rsid w:val="00ED3468"/>
    <w:rsid w:val="00F038D8"/>
    <w:rsid w:val="00F06995"/>
    <w:rsid w:val="00F12D66"/>
    <w:rsid w:val="00F13623"/>
    <w:rsid w:val="00F44D1D"/>
    <w:rsid w:val="00F74A16"/>
    <w:rsid w:val="00F81D33"/>
    <w:rsid w:val="00F84B6D"/>
    <w:rsid w:val="00F957E8"/>
    <w:rsid w:val="00FA311A"/>
    <w:rsid w:val="00FA5FDA"/>
    <w:rsid w:val="00FA7FD0"/>
    <w:rsid w:val="00FB6AB3"/>
    <w:rsid w:val="00FD1419"/>
    <w:rsid w:val="00FD79E4"/>
    <w:rsid w:val="00FE09EC"/>
    <w:rsid w:val="00FE2894"/>
    <w:rsid w:val="00FF2468"/>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73B50"/>
    <w:rsid w:val="00726C0C"/>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B1AC3"/>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 w:type="paragraph" w:customStyle="1" w:styleId="D6E8F28878F141F0AC839C5F7C2D5AAA">
    <w:name w:val="D6E8F28878F141F0AC839C5F7C2D5AAA"/>
    <w:rsid w:val="00726C0C"/>
    <w:pPr>
      <w:bidi/>
      <w:spacing w:after="160" w:line="259" w:lineRule="auto"/>
    </w:pPr>
  </w:style>
  <w:style w:type="paragraph" w:customStyle="1" w:styleId="85FFD68ED45041B1A29C43A1190577ED">
    <w:name w:val="85FFD68ED45041B1A29C43A1190577ED"/>
    <w:rsid w:val="00726C0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איהאב אחמד</FullName>
        <FirstName>איהאב</FirstName>
        <LastName>אחמד</LastName>
        <PartyPropertyName/>
        <AuthenticationTypeAndNumber>ת"ז 313817199</AuthenticationTypeAndNumber>
        <RepresentatedOrRepresentativesNames>מוופק אבו יונס</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272937605</CasePartyID>
        <PartyTypeID>1</PartyTypeID>
        <ActivityStatusID>1</ActivityStatusID>
        <PartyAliasID>3</PartyAliasID>
        <PartyAliasName>מבקש</PartyAliasName>
        <OrdinalNumber>1</OrdinalNumber>
        <LegalEntityID>70554685</LegalEntityID>
        <CaseLegalEntityID>129717873</CaseLegalEntityID>
        <AuthenticationTypeID>1</AuthenticationTypeID>
        <AuthenticationTypeName>ת"ז</AuthenticationTypeName>
        <LegalEntityNumber>313817199</LegalEntityNumber>
        <IsMainPartyType>true</IsMainPartyType>
        <CaseDisplayIdentifier>45472-07-24</CaseDisplayIdentifier>
        <CaseTypeID>10074</CaseTypeID>
        <CaseTypeName>רשות ערעור משפחה (רמ"ש)</CaseTypeName>
        <CaseName>אחמד נ' קילאני</CaseName>
        <FullAddress>עראבה </FullAddress>
        <MotionID>0</MotionID>
        <CasePleaID>0</CasePleaID>
        <FatherName>אחמד</FatherName>
        <LinkedCaseID>0</LinkedCaseID>
        <PartyID>1</PartyID>
        <CasePartyCategoryID>2</CasePartyCategoryID>
        <LegalEntityAddressID>88180681</LegalEntityAddressID>
        <GrandfatherName/>
        <DrivingLicenseNumber>7176011</DrivingLicenseNumber>
        <PleaTypeID>5</PleaTypeID>
        <GroupPartyAlias>מבקשים</GroupPartyAlias>
        <IsConverted>false</IsConverted>
        <LegalEntityRegisteredNameID>8718167</LegalEntityRegisteredNameID>
        <LegalEntityNameID>95188278</LegalEntityNameID>
        <RepresentatedNamesOfAssistant/>
        <LegalEntityTypeID>1</LegalEntityTypeID>
        <IsVerdictExists>false</IsVerdictExists>
        <IsAsirAzir>false</IsAsirAzir>
        <MainAndSecSpec/>
        <IsPublicationProhibited>false</IsPublicationProhibited>
        <PublicationProhibitedFullName>איהאב אחמד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מוופק אבו יונס</FullName>
        <FirstName>מוופק</FirstName>
        <LastName>אבו יונס</LastName>
        <PartyPropertyName/>
        <AuthenticationTypeAndNumber>מ.ר. 25813</AuthenticationTypeAndNumber>
        <RepresentatedOrRepresentativesNames>איהאב אחמד</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272937607</CasePartyID>
        <PartyTypeID>2</PartyTypeID>
        <ActivityStatusID>1</ActivityStatusID>
        <PartyAliasID>22</PartyAliasID>
        <PartyAliasName>בא כוח מבקשים</PartyAliasName>
        <OrdinalNumber>1</OrdinalNumber>
        <LegalEntityID>386743</LegalEntityID>
        <CaseLegalEntityID>129717875</CaseLegalEntityID>
        <AuthenticationTypeID>4</AuthenticationTypeID>
        <AuthenticationTypeName>מ.ר.</AuthenticationTypeName>
        <LegalEntityNumber>25813</LegalEntityNumber>
        <IsMainPartyType>true</IsMainPartyType>
        <CaseDisplayIdentifier>45472-07-24</CaseDisplayIdentifier>
        <CaseTypeID>10074</CaseTypeID>
        <CaseTypeName>רשות ערעור משפחה (רמ"ש)</CaseTypeName>
        <CaseName>אחמד נ' קילאני</CaseName>
        <FullAddress>איצטדיון דוחא סח'נין ת.ד 1817</FullAddress>
        <MotionID>0</MotionID>
        <CasePleaID>0</CasePleaID>
        <FatherName xml:space="preserve">        </FatherName>
        <LinkedCaseID>0</LinkedCaseID>
        <PartyID>1</PartyID>
        <CasePartyCategoryID>2</CasePartyCategoryID>
        <LegalEntityAddressID>33471752</LegalEntityAddressID>
        <PleaTypeID>5</PleaTypeID>
        <LawyerOfficeName>משרד עו"ד: מוופק אבו יונס</LawyerOfficeName>
        <LawyerOfficeID>427387</LawyerOfficeID>
        <GroupPartyAlias/>
        <IsConverted>false</IsConverted>
        <LegalEntityNameID>7727</LegalEntityNameID>
        <RepresentatedNamesOfAssistant/>
        <LegalEntityTypeID>4</LegalEntityTypeID>
        <IsVerdictExists>false</IsVerdictExists>
        <IsAsirAzir>false</IsAsirAzir>
        <MainAndSecSpec/>
        <IsPublicationProhibited>false</IsPublicationProhibited>
        <PublicationProhibitedFullName>מוופק אבו יונס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סעיד גאליה</FullName>
        <FirstName>סעיד</FirstName>
        <LastName>גאליה</LastName>
        <PartyPropertyName/>
        <AuthenticationTypeAndNumber>מ.ר. 36416</AuthenticationTypeAndNumber>
        <RepresentatedOrRepresentativesNames>פאטמה קילאני</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272937608</CasePartyID>
        <PartyTypeID>2</PartyTypeID>
        <ActivityStatusID>1</ActivityStatusID>
        <PartyAliasID>23</PartyAliasID>
        <PartyAliasName>בא כוח משיבים</PartyAliasName>
        <OrdinalNumber>1</OrdinalNumber>
        <LegalEntityID>407521</LegalEntityID>
        <CaseLegalEntityID>129717876</CaseLegalEntityID>
        <AuthenticationTypeID>4</AuthenticationTypeID>
        <AuthenticationTypeName>מ.ר.</AuthenticationTypeName>
        <LegalEntityNumber>36416</LegalEntityNumber>
        <IsMainPartyType>true</IsMainPartyType>
        <CaseDisplayIdentifier>45472-07-24</CaseDisplayIdentifier>
        <CaseTypeID>10074</CaseTypeID>
        <CaseTypeName>רשות ערעור משפחה (רמ"ש)</CaseTypeName>
        <CaseName>אחמד נ' קילאני</CaseName>
        <FullAddress>שלומציון המלכה 18 ירושלים ת.ד. 434</FullAddress>
        <MotionID>0</MotionID>
        <CasePleaID>0</CasePleaID>
        <LinkedCaseID>0</LinkedCaseID>
        <PartyID>2</PartyID>
        <CasePartyCategoryID>2</CasePartyCategoryID>
        <LegalEntityAddressID>87049914</LegalEntityAddressID>
        <PleaTypeID>5</PleaTypeID>
        <LawyerOfficeName>משרד עו"ד : סעיד גאליה</LawyerOfficeName>
        <LawyerOfficeID>80744964</LawyerOfficeID>
        <GroupPartyAlias/>
        <IsConverted>false</IsConverted>
        <LegalEntityNameID>28505</LegalEntityNameID>
        <RepresentatedNamesOfAssistant/>
        <LegalEntityTypeID>4</LegalEntityTypeID>
        <IsVerdictExists>false</IsVerdictExists>
        <IsAsirAzir>false</IsAsirAzir>
        <MainAndSecSpec/>
        <IsPublicationProhibited>false</IsPublicationProhibited>
        <PublicationProhibitedFullName>סעיד גאליה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פאטמה קילאני</FullName>
        <FirstName>פאטמה</FirstName>
        <LastName>כילאני</LastName>
        <PartyPropertyName/>
        <AuthenticationTypeAndNumber>ת"ז 023456668</AuthenticationTypeAndNumber>
        <RepresentatedOrRepresentativesNames>סעיד גאליה</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272937606</CasePartyID>
        <PartyTypeID>1</PartyTypeID>
        <ActivityStatusID>1</ActivityStatusID>
        <PartyAliasID>4</PartyAliasID>
        <PartyAliasName>משיב</PartyAliasName>
        <OrdinalNumber>1</OrdinalNumber>
        <LegalEntityID>70554681</LegalEntityID>
        <CaseLegalEntityID>129717874</CaseLegalEntityID>
        <AuthenticationTypeID>1</AuthenticationTypeID>
        <AuthenticationTypeName>ת"ז</AuthenticationTypeName>
        <LegalEntityNumber>023456668</LegalEntityNumber>
        <IsMainPartyType>true</IsMainPartyType>
        <CaseDisplayIdentifier>45472-07-24</CaseDisplayIdentifier>
        <CaseTypeID>10074</CaseTypeID>
        <CaseTypeName>רשות ערעור משפחה (רמ"ש)</CaseTypeName>
        <CaseName>אחמד נ' קילאני</CaseName>
        <FullAddress>יפיע </FullAddress>
        <MotionID>0</MotionID>
        <CasePleaID>0</CasePleaID>
        <FatherName>עלי</FatherName>
        <LinkedCaseID>0</LinkedCaseID>
        <PartyID>2</PartyID>
        <CasePartyCategoryID>2</CasePartyCategoryID>
        <LegalEntityAddressID>88180682</LegalEntityAddressID>
        <PleaTypeID>5</PleaTypeID>
        <GroupPartyAlias>משיבים</GroupPartyAlias>
        <IsConverted>false</IsConverted>
        <LegalEntityRegisteredNameID>9865296</LegalEntityRegisteredNameID>
        <LegalEntityNameID>95188279</LegalEntityNameID>
        <RepresentatedNamesOfAssistant/>
        <LegalEntityTypeID>1</LegalEntityTypeID>
        <IsVerdictExists>false</IsVerdictExists>
        <IsAsirAzir>false</IsAsirAzir>
        <MainAndSecSpec/>
        <IsPublicationProhibited>false</IsPublicationProhibited>
        <PublicationProhibitedFullName>פאטמה קילאני</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2024-07-18T17:51:11.6918119+03:00</DecisionSignatureDate>
    <OpenCaseDate>2024-07-17T14:53:00+03:00</OpenCaseDate>
    <CaseFeeSum>0.000</CaseFeeSum>
    <DecisionTypeID>1</DecisionTypeID>
    <DecisionSignatureUserName>חננאל שרעבי</DecisionSignatureUserName>
    <DecisionSignatureDateHebrew>2024-07-18T17:51:11.6918119+03:00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אחמד נ' קילאני</CaseName>
    <DecisionNumberInCase>1</DecisionNumberInCase>
  </dt_Decision>
  <dt_DecisionCase>
    <DecisionID>0</DecisionID>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1 - תובע</RoleName>
        <IsSubProceeding>FALSE</IsSubProceeding>
        <FullName>איהאב אחמד</FullName>
        <FirstName>איהאב</FirstName>
        <LastName>אחמד</LastName>
        <PartyPropertyName/>
        <AuthenticationTypeAndNumber>ת"ז 313817199</AuthenticationTypeAndNumber>
        <RepresentatedOrRepresentativesNames>מוופק אבו יונס</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272937605</CasePartyID>
        <PartyTypeID>1</PartyTypeID>
        <ActivityStatusID>1</ActivityStatusID>
        <PartyAliasID>3</PartyAliasID>
        <PartyAliasName>מבקש</PartyAliasName>
        <OrdinalNumber>1</OrdinalNumber>
        <LegalEntityID>70554685</LegalEntityID>
        <CaseLegalEntityID>129717873</CaseLegalEntityID>
        <AuthenticationTypeID>1</AuthenticationTypeID>
        <AuthenticationTypeName>ת"ז</AuthenticationTypeName>
        <LegalEntityNumber>313817199</LegalEntityNumber>
        <IsMainPartyType>true</IsMainPartyType>
        <CaseDisplayIdentifier>45472-07-24</CaseDisplayIdentifier>
        <CaseTypeID>10074</CaseTypeID>
        <CaseTypeName>רשות ערעור משפחה (רמ"ש)</CaseTypeName>
        <CaseName>אחמד נ' קילאני</CaseName>
        <FullAddress>עראבה </FullAddress>
        <MotionID>0</MotionID>
        <CasePleaID>0</CasePleaID>
        <FatherName>אחמד</FatherName>
        <LinkedCaseID>0</LinkedCaseID>
        <PartyID>1</PartyID>
        <CasePartyCategoryID>2</CasePartyCategoryID>
        <LegalEntityAddressID>88180681</LegalEntityAddressID>
        <GrandfatherName/>
        <DrivingLicenseNumber>7176011</DrivingLicenseNumber>
        <PleaTypeID>5</PleaTypeID>
        <GroupPartyAlias>מבקשים</GroupPartyAlias>
        <IsConverted>false</IsConverted>
        <LegalEntityRegisteredNameID>8718167</LegalEntityRegisteredNameID>
        <LegalEntityNameID>95188278</LegalEntityNameID>
        <RepresentatedNamesOfAssistant/>
        <LegalEntityTypeID>1</LegalEntityTypeID>
        <IsVerdictExists>false</IsVerdictExists>
        <IsAsirAzir>false</IsAsirAzir>
        <MainAndSecSpec/>
        <IsPublicationProhibited>false</IsPublicationProhibited>
        <PublicationProhibitedFullName>איהאב אחמד</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מוופק אבו יונס</FullName>
        <FirstName>מוופק</FirstName>
        <LastName>אבו יונס</LastName>
        <PartyPropertyName/>
        <AuthenticationTypeAndNumber>מ.ר. 25813</AuthenticationTypeAndNumber>
        <RepresentatedOrRepresentativesNames>איהאב אחמד</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272937607</CasePartyID>
        <PartyTypeID>2</PartyTypeID>
        <ActivityStatusID>1</ActivityStatusID>
        <PartyAliasID>22</PartyAliasID>
        <PartyAliasName>בא כוח מבקשים</PartyAliasName>
        <OrdinalNumber>1</OrdinalNumber>
        <LegalEntityID>386743</LegalEntityID>
        <CaseLegalEntityID>129717875</CaseLegalEntityID>
        <AuthenticationTypeID>4</AuthenticationTypeID>
        <AuthenticationTypeName>מ.ר.</AuthenticationTypeName>
        <LegalEntityNumber>25813</LegalEntityNumber>
        <IsMainPartyType>true</IsMainPartyType>
        <CaseDisplayIdentifier>45472-07-24</CaseDisplayIdentifier>
        <CaseTypeID>10074</CaseTypeID>
        <CaseTypeName>רשות ערעור משפחה (רמ"ש)</CaseTypeName>
        <CaseName>אחמד נ' קילאני</CaseName>
        <FullAddress>איצטדיון דוחא סח'נין ת.ד 1817</FullAddress>
        <MotionID>0</MotionID>
        <CasePleaID>0</CasePleaID>
        <FatherName xml:space="preserve">        </FatherName>
        <LinkedCaseID>0</LinkedCaseID>
        <PartyID>1</PartyID>
        <CasePartyCategoryID>2</CasePartyCategoryID>
        <LegalEntityAddressID>33471752</LegalEntityAddressID>
        <PleaTypeID>5</PleaTypeID>
        <LawyerOfficeName>משרד עו"ד: מוופק אבו יונס</LawyerOfficeName>
        <LawyerOfficeID>427387</LawyerOfficeID>
        <GroupPartyAlias/>
        <IsConverted>false</IsConverted>
        <LegalEntityNameID>7727</LegalEntityNameID>
        <RepresentatedNamesOfAssistant/>
        <LegalEntityTypeID>4</LegalEntityTypeID>
        <IsVerdictExists>false</IsVerdictExists>
        <IsAsirAzir>false</IsAsirAzir>
        <MainAndSecSpec/>
        <IsPublicationProhibited>false</IsPublicationProhibited>
        <PublicationProhibitedFullName>מוופק אבו יונס</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סעיד גאליה</FullName>
        <FirstName>סעיד</FirstName>
        <LastName>גאליה</LastName>
        <PartyPropertyName/>
        <AuthenticationTypeAndNumber>מ.ר. 36416</AuthenticationTypeAndNumber>
        <RepresentatedOrRepresentativesNames>פאטמה קילאני</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272937608</CasePartyID>
        <PartyTypeID>2</PartyTypeID>
        <ActivityStatusID>1</ActivityStatusID>
        <PartyAliasID>23</PartyAliasID>
        <PartyAliasName>בא כוח משיבים</PartyAliasName>
        <OrdinalNumber>1</OrdinalNumber>
        <LegalEntityID>407521</LegalEntityID>
        <CaseLegalEntityID>129717876</CaseLegalEntityID>
        <AuthenticationTypeID>4</AuthenticationTypeID>
        <AuthenticationTypeName>מ.ר.</AuthenticationTypeName>
        <LegalEntityNumber>36416</LegalEntityNumber>
        <IsMainPartyType>true</IsMainPartyType>
        <CaseDisplayIdentifier>45472-07-24</CaseDisplayIdentifier>
        <CaseTypeID>10074</CaseTypeID>
        <CaseTypeName>רשות ערעור משפחה (רמ"ש)</CaseTypeName>
        <CaseName>אחמד נ' קילאני</CaseName>
        <FullAddress>שלומציון המלכה 18 ירושלים ת.ד. 434</FullAddress>
        <MotionID>0</MotionID>
        <CasePleaID>0</CasePleaID>
        <LinkedCaseID>0</LinkedCaseID>
        <PartyID>2</PartyID>
        <CasePartyCategoryID>2</CasePartyCategoryID>
        <LegalEntityAddressID>87049914</LegalEntityAddressID>
        <PleaTypeID>5</PleaTypeID>
        <LawyerOfficeName>משרד עו"ד : סעיד גאליה</LawyerOfficeName>
        <LawyerOfficeID>80744964</LawyerOfficeID>
        <GroupPartyAlias/>
        <IsConverted>false</IsConverted>
        <LegalEntityNameID>28505</LegalEntityNameID>
        <RepresentatedNamesOfAssistant/>
        <LegalEntityTypeID>4</LegalEntityTypeID>
        <IsVerdictExists>false</IsVerdictExists>
        <IsAsirAzir>false</IsAsirAzir>
        <MainAndSecSpec/>
        <IsPublicationProhibited>false</IsPublicationProhibited>
        <PublicationProhibitedFullName>סעיד גאליה</PublicationProhibitedFullName>
      </CaseParties>
      <CaseParties>
        <PartyTypeName>צד</PartyTypeName>
        <ProceedingType>כתב טענות עיקרי</ProceedingType>
        <PleaName>כתב בקשה</PleaName>
        <PartyBelonging>צד ב'</PartyBelonging>
        <RoleName>משיב 1 - נתבע</RoleName>
        <IsSubProceeding>FALSE</IsSubProceeding>
        <FullName>פאטמה קילאני</FullName>
        <FirstName>פאטמה</FirstName>
        <LastName>כילאני</LastName>
        <PartyPropertyName/>
        <AuthenticationTypeAndNumber>ת"ז 023456668</AuthenticationTypeAndNumber>
        <RepresentatedOrRepresentativesNames>סעיד גאליה</RepresentatedOrRepresentativesNames>
        <RepresentatedOrRepresentativesCount>1</RepresentatedOrRepresentativesCount>
        <InvitedBy/>
        <CaseID>81408458</CaseID>
        <CaseJudicialPersonPresentationDS>
          <CaseJudicalPersonActive>
            <CaseID>81408458</CaseID>
            <JudicialPersonID>056479827@GOV.IL</JudicialPersonID>
            <JudicialPersonTypeID>1</JudicialPersonTypeID>
            <JudicialTypeID>1</JudicialTypeID>
            <IsChairman>false</IsChairman>
            <TreatmentStartDate>2024-07-18T11:31:56.673+03:00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272937606</CasePartyID>
        <PartyTypeID>1</PartyTypeID>
        <ActivityStatusID>1</ActivityStatusID>
        <PartyAliasID>4</PartyAliasID>
        <PartyAliasName>משיב</PartyAliasName>
        <OrdinalNumber>1</OrdinalNumber>
        <LegalEntityID>70554681</LegalEntityID>
        <CaseLegalEntityID>129717874</CaseLegalEntityID>
        <AuthenticationTypeID>1</AuthenticationTypeID>
        <AuthenticationTypeName>ת"ז</AuthenticationTypeName>
        <LegalEntityNumber>023456668</LegalEntityNumber>
        <IsMainPartyType>true</IsMainPartyType>
        <CaseDisplayIdentifier>45472-07-24</CaseDisplayIdentifier>
        <CaseTypeID>10074</CaseTypeID>
        <CaseTypeName>רשות ערעור משפחה (רמ"ש)</CaseTypeName>
        <CaseName>אחמד נ' קילאני</CaseName>
        <FullAddress>יפיע </FullAddress>
        <MotionID>0</MotionID>
        <CasePleaID>0</CasePleaID>
        <FatherName>עלי</FatherName>
        <LinkedCaseID>0</LinkedCaseID>
        <PartyID>2</PartyID>
        <CasePartyCategoryID>2</CasePartyCategoryID>
        <LegalEntityAddressID>88180682</LegalEntityAddressID>
        <PleaTypeID>5</PleaTypeID>
        <GroupPartyAlias>משיבים</GroupPartyAlias>
        <IsConverted>false</IsConverted>
        <LegalEntityRegisteredNameID>9865296</LegalEntityRegisteredNameID>
        <LegalEntityNameID>95188279</LegalEntityNameID>
        <RepresentatedNamesOfAssistant/>
        <LegalEntityTypeID>1</LegalEntityTypeID>
        <IsVerdictExists>false</IsVerdictExists>
        <IsAsirAzir>false</IsAsirAzir>
        <MainAndSecSpec/>
        <IsPublicationProhibited>false</IsPublicationProhibited>
        <PublicationProhibitedFullName>פאטמה קילאני</PublicationProhibitedFullName>
      </CaseParties>
    </CasePartiesSelectionDS>
    <CaseName>אחמד נ' קילאני</CaseName>
    <CaseDisplayIdentifier>45472-07-24</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ZipCode>3081200</ZipCode>
    <CityName>עראבה</CityName>
    <FullName>איהאב  אחמד</FullName>
    <IsPublicationProhibited>false</IsPublicationProhibited>
  </dt_LegalEntityDetails>
  <dt_LegalEntityDetails>
    <PartyID>2</PartyID>
    <PartyTypeID>1</PartyTypeID>
    <DecisionID>0</DecisionID>
    <ZipCode>1695500</ZipCode>
    <CityName>יפיע</CityName>
    <FullName>פאטמה קילאני</FullName>
    <IsPublicationProhibited>false</IsPublicationProhibited>
  </dt_LegalEntityDetails>
  <dt_LegalEntityDetails>
    <Fax>04-6747796</Fax>
    <Phone>04-6746255</Phone>
    <AddressDesc>ת.ד 1817</AddressDesc>
    <PartyID>1</PartyID>
    <PartyTypeID>2</PartyTypeID>
    <DecisionID>0</DecisionID>
    <StreetName>איצטדיון דוחא</StreetName>
    <ZipCode>30810</ZipCode>
    <CityName>סח'נין</CityName>
    <FullName>מוופק אבו יונס</FullName>
    <Email>abuyunis.m@hotmail.com</Email>
    <IsPublicationProhibited>false</IsPublicationProhibited>
  </dt_LegalEntityDetails>
  <dt_LegalEntityDetails>
    <Fax>02-6227420</Fax>
    <Phone>02-6227410</Phone>
    <AddressDesc>ת.ד. 434</AddressDesc>
    <PartyID>2</PartyID>
    <PartyTypeID>2</PartyTypeID>
    <DecisionID>0</DecisionID>
    <StreetName>שלומציון המלכה 18</StreetName>
    <ZipCode>1900309</ZipCode>
    <CityName>ירושלים</CityName>
    <FullName>סעיד גאליה</FullName>
    <Email>office@sgh-law.co.il</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53024-0E11-4529-9C2A-03D5B0830277}">
  <ds:schemaRefs/>
</ds:datastoreItem>
</file>

<file path=customXml/itemProps2.xml><?xml version="1.0" encoding="utf-8"?>
<ds:datastoreItem xmlns:ds="http://schemas.openxmlformats.org/officeDocument/2006/customXml" ds:itemID="{F8093230-1BDC-4268-98FE-C6217ED0D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1312</Words>
  <Characters>6561</Characters>
  <Application>Microsoft Office Word</Application>
  <DocSecurity>4</DocSecurity>
  <Lines>54</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2024-07-28T06:07:00Z</dcterms:created>
  <dcterms:modified xsi:type="dcterms:W3CDTF">2024-07-28T06:07:00Z</dcterms:modified>
</cp:coreProperties>
</file>